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2DEA55" w14:textId="54746157" w:rsidR="00941A25" w:rsidRPr="00EE76A9" w:rsidRDefault="00941A25" w:rsidP="00941A25">
      <w:pPr>
        <w:pStyle w:val="Header"/>
        <w:tabs>
          <w:tab w:val="right" w:pos="9639"/>
        </w:tabs>
        <w:rPr>
          <w:bCs/>
          <w:i/>
          <w:noProof w:val="0"/>
          <w:sz w:val="32"/>
          <w:lang w:val="en-GB" w:eastAsia="zh-CN"/>
        </w:rPr>
      </w:pPr>
      <w:bookmarkStart w:id="0" w:name="_GoBack"/>
      <w:bookmarkEnd w:id="0"/>
      <w:r w:rsidRPr="003F3B54">
        <w:rPr>
          <w:bCs/>
          <w:noProof w:val="0"/>
          <w:sz w:val="24"/>
          <w:lang w:val="en-GB"/>
        </w:rPr>
        <w:t>3GPP T</w:t>
      </w:r>
      <w:bookmarkStart w:id="1" w:name="_Ref452454252"/>
      <w:bookmarkEnd w:id="1"/>
      <w:r w:rsidRPr="003F3B54">
        <w:rPr>
          <w:bCs/>
          <w:noProof w:val="0"/>
          <w:sz w:val="24"/>
          <w:lang w:val="en-GB"/>
        </w:rPr>
        <w:t xml:space="preserve">SG-RAN </w:t>
      </w:r>
      <w:r w:rsidRPr="003F3B54">
        <w:rPr>
          <w:noProof w:val="0"/>
          <w:sz w:val="24"/>
          <w:lang w:val="en-GB"/>
        </w:rPr>
        <w:t>WG1 #8</w:t>
      </w:r>
      <w:r>
        <w:rPr>
          <w:noProof w:val="0"/>
          <w:sz w:val="24"/>
          <w:lang w:val="en-GB"/>
        </w:rPr>
        <w:t>6bis</w:t>
      </w:r>
      <w:r w:rsidRPr="007C4D13">
        <w:rPr>
          <w:bCs/>
          <w:sz w:val="24"/>
          <w:lang w:val="en-GB"/>
        </w:rPr>
        <w:tab/>
      </w:r>
      <w:r w:rsidRPr="007C4D13">
        <w:rPr>
          <w:bCs/>
          <w:sz w:val="24"/>
          <w:lang w:val="en-GB" w:eastAsia="ja-JP"/>
        </w:rPr>
        <w:t>R1-</w:t>
      </w:r>
      <w:r w:rsidR="00005FA5">
        <w:rPr>
          <w:bCs/>
          <w:sz w:val="24"/>
          <w:lang w:val="en-GB" w:eastAsia="ja-JP"/>
        </w:rPr>
        <w:t>1609588</w:t>
      </w:r>
    </w:p>
    <w:p w14:paraId="4283B916" w14:textId="77777777" w:rsidR="00941A25" w:rsidRPr="00461210" w:rsidRDefault="00941A25" w:rsidP="00941A25">
      <w:pPr>
        <w:pStyle w:val="Header"/>
        <w:tabs>
          <w:tab w:val="right" w:pos="9639"/>
        </w:tabs>
        <w:rPr>
          <w:bCs/>
          <w:noProof w:val="0"/>
          <w:sz w:val="24"/>
          <w:lang w:val="en-GB"/>
        </w:rPr>
      </w:pPr>
      <w:r>
        <w:rPr>
          <w:noProof w:val="0"/>
          <w:sz w:val="24"/>
          <w:lang w:val="en-GB"/>
        </w:rPr>
        <w:t>Lisbon, Portugal, October</w:t>
      </w:r>
      <w:r>
        <w:rPr>
          <w:bCs/>
          <w:sz w:val="24"/>
          <w:lang w:eastAsia="zh-CN"/>
        </w:rPr>
        <w:t xml:space="preserve"> 10-14, </w:t>
      </w:r>
      <w:r w:rsidRPr="00235B77">
        <w:rPr>
          <w:bCs/>
          <w:sz w:val="24"/>
          <w:lang w:eastAsia="zh-CN"/>
        </w:rPr>
        <w:t>201</w:t>
      </w:r>
      <w:r>
        <w:rPr>
          <w:bCs/>
          <w:sz w:val="24"/>
          <w:lang w:eastAsia="zh-CN"/>
        </w:rPr>
        <w:t>6</w:t>
      </w:r>
    </w:p>
    <w:p w14:paraId="526064B9" w14:textId="77777777" w:rsidR="00941A25" w:rsidRPr="007B7496" w:rsidRDefault="00941A25" w:rsidP="00941A25">
      <w:pPr>
        <w:pStyle w:val="Header"/>
        <w:rPr>
          <w:bCs/>
          <w:noProof w:val="0"/>
          <w:sz w:val="24"/>
          <w:lang w:val="en-GB" w:eastAsia="ja-JP"/>
        </w:rPr>
      </w:pPr>
    </w:p>
    <w:p w14:paraId="5704DDFB" w14:textId="77777777" w:rsidR="00941A25" w:rsidRPr="00220D03" w:rsidRDefault="00941A25" w:rsidP="00941A25">
      <w:pPr>
        <w:pStyle w:val="CRCoverPage"/>
        <w:rPr>
          <w:rFonts w:cs="Arial"/>
          <w:b/>
          <w:bCs/>
          <w:color w:val="FF0000"/>
          <w:sz w:val="24"/>
          <w:lang w:eastAsia="ja-JP"/>
        </w:rPr>
      </w:pPr>
      <w:r w:rsidRPr="00464589">
        <w:rPr>
          <w:rFonts w:cs="Arial"/>
          <w:b/>
          <w:bCs/>
          <w:sz w:val="24"/>
        </w:rPr>
        <w:t>Agenda item:</w:t>
      </w:r>
      <w:r w:rsidRPr="00464589">
        <w:rPr>
          <w:rFonts w:cs="Arial"/>
          <w:b/>
          <w:bCs/>
          <w:sz w:val="24"/>
        </w:rPr>
        <w:tab/>
      </w:r>
      <w:r w:rsidRPr="00E32050">
        <w:rPr>
          <w:rFonts w:cs="Arial"/>
          <w:b/>
          <w:bCs/>
          <w:sz w:val="24"/>
        </w:rPr>
        <w:tab/>
      </w:r>
      <w:r w:rsidRPr="00220D03">
        <w:rPr>
          <w:rFonts w:cs="Arial"/>
          <w:b/>
          <w:bCs/>
          <w:sz w:val="24"/>
        </w:rPr>
        <w:t>8.1.</w:t>
      </w:r>
      <w:r>
        <w:rPr>
          <w:rFonts w:cs="Arial"/>
          <w:b/>
          <w:bCs/>
          <w:sz w:val="24"/>
        </w:rPr>
        <w:t>3</w:t>
      </w:r>
      <w:r w:rsidRPr="00220D03">
        <w:rPr>
          <w:rFonts w:cs="Arial"/>
          <w:b/>
          <w:bCs/>
          <w:sz w:val="24"/>
        </w:rPr>
        <w:t>.1</w:t>
      </w:r>
    </w:p>
    <w:p w14:paraId="5FB1C899" w14:textId="77777777" w:rsidR="00E03487" w:rsidRPr="003F3B54" w:rsidRDefault="00E03487" w:rsidP="00E03487">
      <w:pPr>
        <w:tabs>
          <w:tab w:val="left" w:pos="1985"/>
        </w:tabs>
        <w:ind w:left="1985" w:hanging="1985"/>
        <w:rPr>
          <w:rFonts w:ascii="Arial" w:hAnsi="Arial" w:cs="Arial"/>
          <w:b/>
          <w:bCs/>
          <w:sz w:val="24"/>
        </w:rPr>
      </w:pPr>
      <w:r w:rsidRPr="003F3B54">
        <w:rPr>
          <w:rFonts w:ascii="Arial" w:hAnsi="Arial" w:cs="Arial"/>
          <w:b/>
          <w:bCs/>
          <w:sz w:val="24"/>
        </w:rPr>
        <w:t>Source:</w:t>
      </w:r>
      <w:r w:rsidRPr="003F3B54">
        <w:rPr>
          <w:rFonts w:ascii="Arial" w:hAnsi="Arial" w:cs="Arial"/>
          <w:b/>
          <w:bCs/>
          <w:sz w:val="24"/>
        </w:rPr>
        <w:tab/>
      </w:r>
      <w:bookmarkStart w:id="2" w:name="OLE_LINK1"/>
      <w:bookmarkStart w:id="3" w:name="OLE_LINK2"/>
      <w:r w:rsidRPr="003F3B54">
        <w:rPr>
          <w:rFonts w:ascii="Arial" w:hAnsi="Arial" w:cs="Arial"/>
          <w:b/>
          <w:bCs/>
          <w:sz w:val="24"/>
        </w:rPr>
        <w:t>Nokia</w:t>
      </w:r>
      <w:bookmarkEnd w:id="2"/>
      <w:bookmarkEnd w:id="3"/>
      <w:r w:rsidRPr="003F3B54">
        <w:rPr>
          <w:rFonts w:ascii="Arial" w:hAnsi="Arial" w:cs="Arial"/>
          <w:b/>
          <w:bCs/>
          <w:sz w:val="24"/>
        </w:rPr>
        <w:t xml:space="preserve">, Alcatel-Lucent Shanghai Bell </w:t>
      </w:r>
    </w:p>
    <w:p w14:paraId="426991BD" w14:textId="70EE6C84" w:rsidR="00E03487" w:rsidRPr="003F3B54" w:rsidRDefault="00E03487" w:rsidP="00E03487">
      <w:pPr>
        <w:ind w:left="1985" w:hanging="1985"/>
        <w:rPr>
          <w:rFonts w:ascii="Arial" w:hAnsi="Arial" w:cs="Arial"/>
          <w:b/>
          <w:bCs/>
          <w:sz w:val="24"/>
        </w:rPr>
      </w:pPr>
      <w:r w:rsidRPr="003F3B54">
        <w:rPr>
          <w:rFonts w:ascii="Arial" w:hAnsi="Arial" w:cs="Arial"/>
          <w:b/>
          <w:bCs/>
          <w:sz w:val="24"/>
        </w:rPr>
        <w:t>Title:</w:t>
      </w:r>
      <w:r w:rsidRPr="003F3B54">
        <w:rPr>
          <w:rFonts w:ascii="Arial" w:hAnsi="Arial" w:cs="Arial"/>
          <w:b/>
          <w:bCs/>
          <w:sz w:val="24"/>
        </w:rPr>
        <w:tab/>
      </w:r>
      <w:r w:rsidR="00EF3F2E">
        <w:rPr>
          <w:rFonts w:ascii="Arial" w:hAnsi="Arial" w:cs="Arial"/>
          <w:b/>
          <w:bCs/>
          <w:sz w:val="24"/>
        </w:rPr>
        <w:t xml:space="preserve">False alarm rate of LDPC decoding and CRC requirement </w:t>
      </w:r>
      <w:r w:rsidR="00335E17">
        <w:rPr>
          <w:rFonts w:ascii="Arial" w:hAnsi="Arial" w:cs="Arial"/>
          <w:b/>
          <w:bCs/>
          <w:sz w:val="24"/>
        </w:rPr>
        <w:t xml:space="preserve"> </w:t>
      </w:r>
    </w:p>
    <w:p w14:paraId="6708D8AC" w14:textId="77777777" w:rsidR="00E03487" w:rsidRPr="003F3B54" w:rsidRDefault="00E03487" w:rsidP="00E03487">
      <w:pPr>
        <w:rPr>
          <w:rFonts w:ascii="Arial" w:hAnsi="Arial" w:cs="Arial"/>
          <w:b/>
          <w:bCs/>
          <w:sz w:val="24"/>
        </w:rPr>
      </w:pPr>
      <w:r w:rsidRPr="003F3B54">
        <w:rPr>
          <w:rFonts w:ascii="Arial" w:hAnsi="Arial" w:cs="Arial"/>
          <w:b/>
          <w:bCs/>
          <w:sz w:val="24"/>
        </w:rPr>
        <w:t>Document for:</w:t>
      </w:r>
      <w:r w:rsidRPr="003F3B54">
        <w:rPr>
          <w:rFonts w:ascii="Arial" w:hAnsi="Arial" w:cs="Arial"/>
          <w:b/>
          <w:bCs/>
          <w:sz w:val="24"/>
        </w:rPr>
        <w:tab/>
      </w:r>
      <w:r w:rsidRPr="003F3B54">
        <w:rPr>
          <w:rFonts w:ascii="Arial" w:hAnsi="Arial" w:cs="Arial"/>
          <w:b/>
          <w:bCs/>
          <w:sz w:val="24"/>
        </w:rPr>
        <w:tab/>
        <w:t>Discussion and Decision</w:t>
      </w:r>
    </w:p>
    <w:p w14:paraId="596D3698" w14:textId="77777777" w:rsidR="0034111C" w:rsidRPr="003F3B54" w:rsidRDefault="0034111C">
      <w:pPr>
        <w:pStyle w:val="Heading1"/>
      </w:pPr>
      <w:r w:rsidRPr="003F3B54">
        <w:t>1</w:t>
      </w:r>
      <w:r w:rsidRPr="003F3B54">
        <w:tab/>
      </w:r>
      <w:r w:rsidR="00EE7FA7" w:rsidRPr="003F3B54">
        <w:t>Introduction</w:t>
      </w:r>
    </w:p>
    <w:p w14:paraId="2EB56AC7" w14:textId="77777777" w:rsidR="00843A83" w:rsidRPr="00843A83" w:rsidRDefault="00843A83" w:rsidP="00843A83">
      <w:pPr>
        <w:jc w:val="both"/>
        <w:rPr>
          <w:rFonts w:ascii="Times New Roman" w:hAnsi="Times New Roman" w:cs="Times New Roman"/>
          <w:sz w:val="20"/>
          <w:szCs w:val="20"/>
        </w:rPr>
      </w:pPr>
      <w:r w:rsidRPr="00843A83">
        <w:rPr>
          <w:rFonts w:ascii="Times New Roman" w:hAnsi="Times New Roman" w:cs="Times New Roman"/>
          <w:sz w:val="20"/>
          <w:szCs w:val="20"/>
        </w:rPr>
        <w:t xml:space="preserve">Since RAN1 #84bis, we have been discussing performances of various coding schemes focusing only on the block error rate (BLER) performance. In practice, all these codes have to rely on an error detection outer code, and the most common scheme is cyclic redundancy check (CRC). In particular to Turbo codes and TBCC, these CRC bits are well known from the LTE standard. For control channels, 16 CRC bits is the </w:t>
      </w:r>
      <w:r w:rsidRPr="00843A83">
        <w:rPr>
          <w:rFonts w:ascii="Times New Roman" w:hAnsi="Times New Roman" w:cs="Times New Roman"/>
          <w:sz w:val="20"/>
          <w:szCs w:val="20"/>
        </w:rPr>
        <w:lastRenderedPageBreak/>
        <w:t xml:space="preserve">general assumption while 24 CRC bits is used for data channels for error detection. For data channels, CRC also helps early termination if an errored decoded block occurs. </w:t>
      </w:r>
    </w:p>
    <w:p w14:paraId="00E67EDD" w14:textId="77777777" w:rsidR="00843A83" w:rsidRDefault="00843A83" w:rsidP="00843A83">
      <w:pPr>
        <w:jc w:val="both"/>
        <w:rPr>
          <w:rFonts w:ascii="Times New Roman" w:hAnsi="Times New Roman" w:cs="Times New Roman"/>
          <w:sz w:val="20"/>
          <w:szCs w:val="20"/>
        </w:rPr>
      </w:pPr>
      <w:r w:rsidRPr="00843A83">
        <w:rPr>
          <w:rFonts w:ascii="Times New Roman" w:hAnsi="Times New Roman" w:cs="Times New Roman"/>
          <w:sz w:val="20"/>
          <w:szCs w:val="20"/>
        </w:rPr>
        <w:t xml:space="preserve">In this contribution, we highlight error detection features of LDPC codes and impact of the CRC bits on the effective code rates and false alarm rate of the detection. </w:t>
      </w:r>
    </w:p>
    <w:p w14:paraId="5F471C68" w14:textId="6AD6F4D6" w:rsidR="00214D8F" w:rsidRDefault="00B10DFE" w:rsidP="00B10DFE">
      <w:pPr>
        <w:pStyle w:val="Heading1"/>
        <w:rPr>
          <w:lang w:eastAsia="zh-CN"/>
        </w:rPr>
      </w:pPr>
      <w:bookmarkStart w:id="4" w:name="OLE_LINK9"/>
      <w:bookmarkStart w:id="5" w:name="OLE_LINK10"/>
      <w:bookmarkStart w:id="6" w:name="OLE_LINK13"/>
      <w:bookmarkStart w:id="7" w:name="OLE_LINK14"/>
      <w:r>
        <w:rPr>
          <w:lang w:eastAsia="zh-CN"/>
        </w:rPr>
        <w:t>2</w:t>
      </w:r>
      <w:r>
        <w:rPr>
          <w:lang w:eastAsia="zh-CN"/>
        </w:rPr>
        <w:tab/>
      </w:r>
      <w:r w:rsidR="00214D8F">
        <w:rPr>
          <w:lang w:eastAsia="zh-CN"/>
        </w:rPr>
        <w:t>CRC Requirement for LDPC</w:t>
      </w:r>
    </w:p>
    <w:p w14:paraId="3D15BB12" w14:textId="49845DDC" w:rsidR="00843A83" w:rsidRDefault="00843A83" w:rsidP="00214D8F">
      <w:pPr>
        <w:jc w:val="both"/>
        <w:rPr>
          <w:rFonts w:ascii="Times New Roman" w:hAnsi="Times New Roman" w:cs="Times New Roman"/>
          <w:sz w:val="20"/>
          <w:szCs w:val="20"/>
        </w:rPr>
      </w:pPr>
      <w:r w:rsidRPr="00843A83">
        <w:rPr>
          <w:rFonts w:ascii="Times New Roman" w:hAnsi="Times New Roman" w:cs="Times New Roman"/>
          <w:sz w:val="20"/>
          <w:szCs w:val="20"/>
        </w:rPr>
        <w:t xml:space="preserve">Prior studying error detection statistics, it is suitable to find out the impact of the CRC bits on the effective code rate. In general, the resource we have are limited, and the number of info bits and CRC bits decides the code rate that we operate. This is an important aspect to investigate as for smaller blocks as CRC bits makes a huge difference in the effective code rate </w:t>
      </w:r>
    </w:p>
    <w:p w14:paraId="6CF9A9AC" w14:textId="537BB2B9" w:rsidR="00396475" w:rsidRDefault="00214D8F" w:rsidP="00214D8F">
      <w:pPr>
        <w:pStyle w:val="Heading2"/>
        <w:rPr>
          <w:lang w:eastAsia="zh-CN"/>
        </w:rPr>
      </w:pPr>
      <w:r>
        <w:rPr>
          <w:lang w:eastAsia="zh-CN"/>
        </w:rPr>
        <w:t>2.1</w:t>
      </w:r>
      <w:r>
        <w:rPr>
          <w:lang w:eastAsia="zh-CN"/>
        </w:rPr>
        <w:tab/>
      </w:r>
      <w:r w:rsidR="00EF3F2E">
        <w:rPr>
          <w:lang w:eastAsia="zh-CN"/>
        </w:rPr>
        <w:t>Effective code rates with CRC bits</w:t>
      </w:r>
    </w:p>
    <w:bookmarkEnd w:id="4"/>
    <w:bookmarkEnd w:id="5"/>
    <w:p w14:paraId="3BBF43BB" w14:textId="6B979C8A" w:rsidR="00327D75" w:rsidRDefault="00843A83" w:rsidP="00EF3F2E">
      <w:pPr>
        <w:jc w:val="both"/>
        <w:rPr>
          <w:rFonts w:ascii="Times New Roman" w:hAnsi="Times New Roman" w:cs="Times New Roman"/>
          <w:sz w:val="20"/>
          <w:szCs w:val="20"/>
        </w:rPr>
      </w:pPr>
      <w:r w:rsidRPr="00843A83">
        <w:rPr>
          <w:rFonts w:ascii="Times New Roman" w:hAnsi="Times New Roman" w:cs="Times New Roman"/>
          <w:sz w:val="20"/>
          <w:szCs w:val="20"/>
        </w:rPr>
        <w:t>First, we identify effective code rates for the simulation assumptions used in URLLC/mMTC simulations [</w:t>
      </w:r>
      <w:r w:rsidR="00430C5B">
        <w:rPr>
          <w:rFonts w:ascii="Times New Roman" w:hAnsi="Times New Roman" w:cs="Times New Roman"/>
          <w:sz w:val="20"/>
          <w:szCs w:val="20"/>
        </w:rPr>
        <w:t>1</w:t>
      </w:r>
      <w:r w:rsidRPr="00843A83">
        <w:rPr>
          <w:rFonts w:ascii="Times New Roman" w:hAnsi="Times New Roman" w:cs="Times New Roman"/>
          <w:sz w:val="20"/>
          <w:szCs w:val="20"/>
        </w:rPr>
        <w:t xml:space="preserve">]. </w:t>
      </w:r>
      <w:r>
        <w:rPr>
          <w:rFonts w:ascii="Times New Roman" w:hAnsi="Times New Roman" w:cs="Times New Roman"/>
          <w:sz w:val="20"/>
          <w:szCs w:val="20"/>
        </w:rPr>
        <w:t xml:space="preserve">Figure 1 and 2 shows the effective code rate change with various block sizes when the transmitted resources are limited to the rate 1/3 and 1/6, respectively. </w:t>
      </w:r>
      <w:r w:rsidR="00EF3F2E">
        <w:rPr>
          <w:rFonts w:ascii="Times New Roman" w:hAnsi="Times New Roman" w:cs="Times New Roman"/>
          <w:sz w:val="20"/>
          <w:szCs w:val="20"/>
        </w:rPr>
        <w:t xml:space="preserve"> </w:t>
      </w:r>
      <w:r>
        <w:rPr>
          <w:rFonts w:ascii="Times New Roman" w:hAnsi="Times New Roman" w:cs="Times New Roman"/>
          <w:sz w:val="20"/>
          <w:szCs w:val="20"/>
        </w:rPr>
        <w:t xml:space="preserve">Different number of CRC bits are appended to the info </w:t>
      </w:r>
      <w:r>
        <w:rPr>
          <w:rFonts w:ascii="Times New Roman" w:hAnsi="Times New Roman" w:cs="Times New Roman"/>
          <w:sz w:val="20"/>
          <w:szCs w:val="20"/>
        </w:rPr>
        <w:lastRenderedPageBreak/>
        <w:t xml:space="preserve">blocks and rate matched to </w:t>
      </w:r>
      <w:r w:rsidR="0085573A">
        <w:rPr>
          <w:rFonts w:ascii="Times New Roman" w:hAnsi="Times New Roman" w:cs="Times New Roman"/>
          <w:sz w:val="20"/>
          <w:szCs w:val="20"/>
        </w:rPr>
        <w:t xml:space="preserve">use </w:t>
      </w:r>
      <w:r>
        <w:rPr>
          <w:rFonts w:ascii="Times New Roman" w:hAnsi="Times New Roman" w:cs="Times New Roman"/>
          <w:sz w:val="20"/>
          <w:szCs w:val="20"/>
        </w:rPr>
        <w:t>limited resources</w:t>
      </w:r>
      <w:r w:rsidR="0085573A">
        <w:rPr>
          <w:rFonts w:ascii="Times New Roman" w:hAnsi="Times New Roman" w:cs="Times New Roman"/>
          <w:sz w:val="20"/>
          <w:szCs w:val="20"/>
        </w:rPr>
        <w:t xml:space="preserve"> defined by code rate and info block size</w:t>
      </w:r>
      <w:r>
        <w:rPr>
          <w:rFonts w:ascii="Times New Roman" w:hAnsi="Times New Roman" w:cs="Times New Roman"/>
          <w:sz w:val="20"/>
          <w:szCs w:val="20"/>
        </w:rPr>
        <w:t xml:space="preserve">. </w:t>
      </w:r>
      <w:r w:rsidR="0085573A">
        <w:rPr>
          <w:rFonts w:ascii="Times New Roman" w:hAnsi="Times New Roman" w:cs="Times New Roman"/>
          <w:sz w:val="20"/>
          <w:szCs w:val="20"/>
        </w:rPr>
        <w:t xml:space="preserve">The result is visible as such rate matching increases the effective code rate of the transmission. </w:t>
      </w:r>
    </w:p>
    <w:p w14:paraId="6225ED80" w14:textId="31E9C4AC" w:rsidR="00214D8F" w:rsidRDefault="00327D75" w:rsidP="00327D75">
      <w:pPr>
        <w:jc w:val="center"/>
        <w:rPr>
          <w:rFonts w:ascii="Times New Roman" w:hAnsi="Times New Roman" w:cs="Times New Roman"/>
          <w:sz w:val="20"/>
          <w:szCs w:val="20"/>
        </w:rPr>
      </w:pPr>
      <w:r>
        <w:rPr>
          <w:noProof/>
          <w:lang w:eastAsia="en-GB"/>
        </w:rPr>
        <w:drawing>
          <wp:inline distT="0" distB="0" distL="0" distR="0" wp14:anchorId="19CF317A" wp14:editId="635531BD">
            <wp:extent cx="4681728" cy="2867559"/>
            <wp:effectExtent l="0" t="0" r="5080" b="952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sidR="00EF667A" w:rsidRPr="00EF667A">
        <w:rPr>
          <w:noProof/>
          <w:lang w:eastAsia="en-GB"/>
        </w:rPr>
        <w:t xml:space="preserve"> </w:t>
      </w:r>
    </w:p>
    <w:p w14:paraId="747E1AC4" w14:textId="0B0BCE61" w:rsidR="00214D8F" w:rsidRDefault="00214D8F" w:rsidP="00214D8F">
      <w:pPr>
        <w:jc w:val="center"/>
        <w:rPr>
          <w:rFonts w:ascii="Times New Roman" w:hAnsi="Times New Roman" w:cs="Times New Roman"/>
          <w:sz w:val="20"/>
          <w:szCs w:val="20"/>
        </w:rPr>
      </w:pPr>
      <w:r>
        <w:rPr>
          <w:rFonts w:ascii="Times New Roman" w:hAnsi="Times New Roman" w:cs="Times New Roman"/>
          <w:sz w:val="20"/>
          <w:szCs w:val="20"/>
        </w:rPr>
        <w:t>Figure 1: Effective code rates for different CRC bits when info block lengths 20 – 1000 bits</w:t>
      </w:r>
      <w:r w:rsidR="008342F5">
        <w:rPr>
          <w:rFonts w:ascii="Times New Roman" w:hAnsi="Times New Roman" w:cs="Times New Roman"/>
          <w:sz w:val="20"/>
          <w:szCs w:val="20"/>
        </w:rPr>
        <w:t>. Code rate 1/3</w:t>
      </w:r>
    </w:p>
    <w:p w14:paraId="20443622" w14:textId="641526E2" w:rsidR="00327D75" w:rsidRDefault="00214D8F" w:rsidP="00327D75">
      <w:pPr>
        <w:jc w:val="center"/>
        <w:rPr>
          <w:rFonts w:ascii="Times New Roman" w:hAnsi="Times New Roman" w:cs="Times New Roman"/>
          <w:sz w:val="20"/>
          <w:szCs w:val="20"/>
        </w:rPr>
      </w:pPr>
      <w:r>
        <w:rPr>
          <w:noProof/>
          <w:lang w:eastAsia="en-GB"/>
        </w:rPr>
        <w:lastRenderedPageBreak/>
        <w:drawing>
          <wp:inline distT="0" distB="0" distL="0" distR="0" wp14:anchorId="34ACFFB4" wp14:editId="4B62587F">
            <wp:extent cx="4895850" cy="3086100"/>
            <wp:effectExtent l="0" t="0" r="0" b="0"/>
            <wp:docPr id="1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218BADE9" w14:textId="12F117EF" w:rsidR="00214D8F" w:rsidRDefault="00214D8F" w:rsidP="00214D8F">
      <w:pPr>
        <w:jc w:val="center"/>
        <w:rPr>
          <w:rFonts w:ascii="Times New Roman" w:hAnsi="Times New Roman" w:cs="Times New Roman"/>
          <w:sz w:val="20"/>
          <w:szCs w:val="20"/>
        </w:rPr>
      </w:pPr>
      <w:r>
        <w:rPr>
          <w:rFonts w:ascii="Times New Roman" w:hAnsi="Times New Roman" w:cs="Times New Roman"/>
          <w:sz w:val="20"/>
          <w:szCs w:val="20"/>
        </w:rPr>
        <w:t>Figure 2: Effective code rates for different CRC bits when info block lengths 20 – 1000 bits</w:t>
      </w:r>
      <w:r w:rsidR="008342F5">
        <w:rPr>
          <w:rFonts w:ascii="Times New Roman" w:hAnsi="Times New Roman" w:cs="Times New Roman"/>
          <w:sz w:val="20"/>
          <w:szCs w:val="20"/>
        </w:rPr>
        <w:t>. Code rate 1/6</w:t>
      </w:r>
    </w:p>
    <w:p w14:paraId="098BCAF1" w14:textId="77777777" w:rsidR="00214D8F" w:rsidRDefault="00214D8F" w:rsidP="00327D75">
      <w:pPr>
        <w:jc w:val="center"/>
        <w:rPr>
          <w:rFonts w:ascii="Times New Roman" w:hAnsi="Times New Roman" w:cs="Times New Roman"/>
          <w:sz w:val="20"/>
          <w:szCs w:val="20"/>
        </w:rPr>
      </w:pPr>
    </w:p>
    <w:bookmarkEnd w:id="6"/>
    <w:bookmarkEnd w:id="7"/>
    <w:p w14:paraId="07A3826E" w14:textId="7DBF22D9" w:rsidR="00BE57CB" w:rsidRDefault="00BE57CB" w:rsidP="00BE57CB">
      <w:pPr>
        <w:jc w:val="center"/>
        <w:rPr>
          <w:rFonts w:ascii="Times New Roman" w:hAnsi="Times New Roman" w:cs="Times New Roman"/>
          <w:b/>
          <w:sz w:val="20"/>
          <w:szCs w:val="20"/>
        </w:rPr>
      </w:pPr>
      <w:r>
        <w:rPr>
          <w:noProof/>
          <w:lang w:eastAsia="en-GB"/>
        </w:rPr>
        <w:drawing>
          <wp:inline distT="0" distB="0" distL="0" distR="0" wp14:anchorId="28A8DAC4" wp14:editId="64E9A919">
            <wp:extent cx="4373217" cy="2449002"/>
            <wp:effectExtent l="0" t="0" r="8890" b="8890"/>
            <wp:docPr id="15"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1C49B3DE" w14:textId="7A9E816F" w:rsidR="00BE57CB" w:rsidRDefault="00BE57CB" w:rsidP="00BE57CB">
      <w:pPr>
        <w:jc w:val="center"/>
        <w:rPr>
          <w:rFonts w:ascii="Times New Roman" w:hAnsi="Times New Roman" w:cs="Times New Roman"/>
          <w:sz w:val="20"/>
          <w:szCs w:val="20"/>
        </w:rPr>
      </w:pPr>
      <w:r>
        <w:rPr>
          <w:rFonts w:ascii="Times New Roman" w:hAnsi="Times New Roman" w:cs="Times New Roman"/>
          <w:sz w:val="20"/>
          <w:szCs w:val="20"/>
        </w:rPr>
        <w:lastRenderedPageBreak/>
        <w:t xml:space="preserve">Figure 3: </w:t>
      </w:r>
      <w:r w:rsidR="008342F5">
        <w:rPr>
          <w:rFonts w:ascii="Times New Roman" w:hAnsi="Times New Roman" w:cs="Times New Roman"/>
          <w:sz w:val="20"/>
          <w:szCs w:val="20"/>
        </w:rPr>
        <w:t>Percentage of increase in code rate</w:t>
      </w:r>
      <w:r>
        <w:rPr>
          <w:rFonts w:ascii="Times New Roman" w:hAnsi="Times New Roman" w:cs="Times New Roman"/>
          <w:sz w:val="20"/>
          <w:szCs w:val="20"/>
        </w:rPr>
        <w:t xml:space="preserve"> for different CRC bits with info block lengths 20 – 1000 bits</w:t>
      </w:r>
    </w:p>
    <w:p w14:paraId="737A60B9" w14:textId="77777777" w:rsidR="0085573A" w:rsidRDefault="0085573A" w:rsidP="00320768">
      <w:pPr>
        <w:jc w:val="both"/>
        <w:rPr>
          <w:rFonts w:ascii="Times New Roman" w:hAnsi="Times New Roman" w:cs="Times New Roman"/>
          <w:sz w:val="20"/>
          <w:szCs w:val="20"/>
        </w:rPr>
      </w:pPr>
      <w:r w:rsidRPr="0085573A">
        <w:rPr>
          <w:rFonts w:ascii="Times New Roman" w:hAnsi="Times New Roman" w:cs="Times New Roman"/>
          <w:sz w:val="20"/>
          <w:szCs w:val="20"/>
        </w:rPr>
        <w:t xml:space="preserve">Figure 3 shows the increase of the code rates as a percentage of the intended code rate (1/3 and 1/6 in Figure 1 and 2). The example shown in the figure is independent of the planned code rate. </w:t>
      </w:r>
    </w:p>
    <w:p w14:paraId="55A792A4" w14:textId="2A689DA3" w:rsidR="00214D8F" w:rsidRDefault="00214D8F" w:rsidP="00320768">
      <w:pPr>
        <w:jc w:val="both"/>
        <w:rPr>
          <w:rFonts w:ascii="Times New Roman" w:hAnsi="Times New Roman" w:cs="Times New Roman"/>
          <w:sz w:val="20"/>
          <w:szCs w:val="20"/>
        </w:rPr>
      </w:pPr>
      <w:r w:rsidRPr="00214D8F">
        <w:rPr>
          <w:rFonts w:ascii="Times New Roman" w:hAnsi="Times New Roman" w:cs="Times New Roman"/>
          <w:b/>
          <w:sz w:val="20"/>
          <w:szCs w:val="20"/>
        </w:rPr>
        <w:t>Observation 1:</w:t>
      </w:r>
      <w:r>
        <w:rPr>
          <w:rFonts w:ascii="Times New Roman" w:hAnsi="Times New Roman" w:cs="Times New Roman"/>
          <w:sz w:val="20"/>
          <w:szCs w:val="20"/>
        </w:rPr>
        <w:t xml:space="preserve">  For lower block sizes, CRC bits used for error detection increases effective code rate of the coding scheme. </w:t>
      </w:r>
    </w:p>
    <w:p w14:paraId="41664530" w14:textId="2651C7CD" w:rsidR="00320768" w:rsidRDefault="00214D8F" w:rsidP="00214D8F">
      <w:pPr>
        <w:jc w:val="both"/>
        <w:rPr>
          <w:rFonts w:ascii="Times New Roman" w:hAnsi="Times New Roman" w:cs="Times New Roman"/>
          <w:sz w:val="20"/>
          <w:szCs w:val="20"/>
        </w:rPr>
      </w:pPr>
      <w:r w:rsidRPr="00214D8F">
        <w:rPr>
          <w:rFonts w:ascii="Times New Roman" w:hAnsi="Times New Roman" w:cs="Times New Roman"/>
          <w:b/>
          <w:sz w:val="20"/>
          <w:szCs w:val="20"/>
        </w:rPr>
        <w:t>Proposal 1:</w:t>
      </w:r>
      <w:r>
        <w:rPr>
          <w:rFonts w:ascii="Times New Roman" w:hAnsi="Times New Roman" w:cs="Times New Roman"/>
          <w:sz w:val="20"/>
          <w:szCs w:val="20"/>
        </w:rPr>
        <w:t xml:space="preserve"> Error detection performances should be considered together BLER performance analysis. For URLLC, this can be up to 400 info block size for the code rates 1/3 and below. </w:t>
      </w:r>
    </w:p>
    <w:p w14:paraId="28F7D71C" w14:textId="325D3EC3" w:rsidR="0085573A" w:rsidRDefault="0085573A" w:rsidP="00214D8F">
      <w:pPr>
        <w:jc w:val="both"/>
        <w:rPr>
          <w:rFonts w:ascii="Times New Roman" w:hAnsi="Times New Roman" w:cs="Times New Roman"/>
          <w:sz w:val="20"/>
          <w:szCs w:val="20"/>
        </w:rPr>
      </w:pPr>
      <w:r w:rsidRPr="0085573A">
        <w:rPr>
          <w:rFonts w:ascii="Times New Roman" w:hAnsi="Times New Roman" w:cs="Times New Roman"/>
          <w:sz w:val="20"/>
          <w:szCs w:val="20"/>
        </w:rPr>
        <w:t>For eMBB simulation cases</w:t>
      </w:r>
      <w:r w:rsidR="00430C5B">
        <w:rPr>
          <w:rFonts w:ascii="Times New Roman" w:hAnsi="Times New Roman" w:cs="Times New Roman"/>
          <w:sz w:val="20"/>
          <w:szCs w:val="20"/>
        </w:rPr>
        <w:t xml:space="preserve"> [2]</w:t>
      </w:r>
      <w:r w:rsidRPr="0085573A">
        <w:rPr>
          <w:rFonts w:ascii="Times New Roman" w:hAnsi="Times New Roman" w:cs="Times New Roman"/>
          <w:sz w:val="20"/>
          <w:szCs w:val="20"/>
        </w:rPr>
        <w:t xml:space="preserve">, LTE turbo codes use 24 CRC bits, and some coding scheme may require less CRC bits. However, satisfying similar detection statistics can be crucial as in LTE. Therefore, 24 CRC bits is the typical assumption for eMBB data. Following figures show variations of effective code rates with the different CRC bits over code blocks that are in the interest for eMBB simulations. </w:t>
      </w:r>
    </w:p>
    <w:p w14:paraId="55624ECB" w14:textId="7FBBEE33" w:rsidR="00BE57CB" w:rsidRDefault="00BE57CB" w:rsidP="00B20EFF">
      <w:pPr>
        <w:jc w:val="center"/>
        <w:rPr>
          <w:rFonts w:ascii="Times New Roman" w:hAnsi="Times New Roman" w:cs="Times New Roman"/>
          <w:sz w:val="20"/>
          <w:szCs w:val="20"/>
        </w:rPr>
      </w:pPr>
      <w:r>
        <w:rPr>
          <w:noProof/>
          <w:lang w:eastAsia="en-GB"/>
        </w:rPr>
        <w:lastRenderedPageBreak/>
        <w:drawing>
          <wp:inline distT="0" distB="0" distL="0" distR="0" wp14:anchorId="67AE284A" wp14:editId="1BA4A884">
            <wp:extent cx="5693134" cy="3045350"/>
            <wp:effectExtent l="0" t="0" r="3175" b="3175"/>
            <wp:docPr id="16" name="Chart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11ED9416" w14:textId="119788AA" w:rsidR="008342F5" w:rsidRDefault="008342F5" w:rsidP="008342F5">
      <w:pPr>
        <w:jc w:val="center"/>
        <w:rPr>
          <w:rFonts w:ascii="Times New Roman" w:hAnsi="Times New Roman" w:cs="Times New Roman"/>
          <w:sz w:val="20"/>
          <w:szCs w:val="20"/>
        </w:rPr>
      </w:pPr>
      <w:r>
        <w:rPr>
          <w:rFonts w:ascii="Times New Roman" w:hAnsi="Times New Roman" w:cs="Times New Roman"/>
          <w:sz w:val="20"/>
          <w:szCs w:val="20"/>
        </w:rPr>
        <w:t>Figure 4: Effective code rates for different CRC bits when info block lengths 100 – 8000 bits. Code rate 1/2</w:t>
      </w:r>
    </w:p>
    <w:p w14:paraId="0C081C32" w14:textId="0A9AA80D" w:rsidR="00B20EFF" w:rsidRDefault="00B20EFF" w:rsidP="00B20EFF">
      <w:pPr>
        <w:jc w:val="center"/>
        <w:rPr>
          <w:rFonts w:ascii="Times New Roman" w:hAnsi="Times New Roman" w:cs="Times New Roman"/>
          <w:sz w:val="20"/>
          <w:szCs w:val="20"/>
        </w:rPr>
      </w:pPr>
      <w:r>
        <w:rPr>
          <w:noProof/>
          <w:lang w:eastAsia="en-GB"/>
        </w:rPr>
        <w:drawing>
          <wp:inline distT="0" distB="0" distL="0" distR="0" wp14:anchorId="6A2DA115" wp14:editId="55A3F195">
            <wp:extent cx="5692775" cy="2838298"/>
            <wp:effectExtent l="0" t="0" r="3175" b="635"/>
            <wp:docPr id="17" name="Chart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72FE1439" w14:textId="012AB293" w:rsidR="008342F5" w:rsidRDefault="008342F5" w:rsidP="008342F5">
      <w:pPr>
        <w:jc w:val="center"/>
        <w:rPr>
          <w:rFonts w:ascii="Times New Roman" w:hAnsi="Times New Roman" w:cs="Times New Roman"/>
          <w:sz w:val="20"/>
          <w:szCs w:val="20"/>
        </w:rPr>
      </w:pPr>
      <w:r>
        <w:rPr>
          <w:rFonts w:ascii="Times New Roman" w:hAnsi="Times New Roman" w:cs="Times New Roman"/>
          <w:sz w:val="20"/>
          <w:szCs w:val="20"/>
        </w:rPr>
        <w:lastRenderedPageBreak/>
        <w:t>Figure 5: Effective code rates for different CRC bits when info block lengths 100 – 8000 bits. Code rate 5/6</w:t>
      </w:r>
    </w:p>
    <w:p w14:paraId="55A227E4" w14:textId="511A5B22" w:rsidR="00B20EFF" w:rsidRDefault="00B20EFF" w:rsidP="00B20EFF">
      <w:pPr>
        <w:jc w:val="center"/>
        <w:rPr>
          <w:rFonts w:ascii="Times New Roman" w:hAnsi="Times New Roman" w:cs="Times New Roman"/>
          <w:sz w:val="20"/>
          <w:szCs w:val="20"/>
        </w:rPr>
      </w:pPr>
      <w:r>
        <w:rPr>
          <w:noProof/>
          <w:lang w:eastAsia="en-GB"/>
        </w:rPr>
        <w:drawing>
          <wp:inline distT="0" distB="0" distL="0" distR="0" wp14:anchorId="7B2709F4" wp14:editId="63159B2A">
            <wp:extent cx="5685183" cy="2170706"/>
            <wp:effectExtent l="0" t="0" r="10795" b="1270"/>
            <wp:docPr id="18" name="Chart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6564D294" w14:textId="680EB387" w:rsidR="008342F5" w:rsidRDefault="008342F5" w:rsidP="00B20EFF">
      <w:pPr>
        <w:jc w:val="center"/>
        <w:rPr>
          <w:rFonts w:ascii="Times New Roman" w:hAnsi="Times New Roman" w:cs="Times New Roman"/>
          <w:sz w:val="20"/>
          <w:szCs w:val="20"/>
        </w:rPr>
      </w:pPr>
      <w:r>
        <w:rPr>
          <w:rFonts w:ascii="Times New Roman" w:hAnsi="Times New Roman" w:cs="Times New Roman"/>
          <w:sz w:val="20"/>
          <w:szCs w:val="20"/>
        </w:rPr>
        <w:t>Figure 6: Percentage of increase in code rate for different CRC bits with info block lengths 100 – 8000 bits</w:t>
      </w:r>
    </w:p>
    <w:p w14:paraId="467F3804" w14:textId="43C7C82C" w:rsidR="00B20EFF" w:rsidRDefault="00B20EFF" w:rsidP="00B20EFF">
      <w:pPr>
        <w:jc w:val="both"/>
        <w:rPr>
          <w:rFonts w:ascii="Times New Roman" w:hAnsi="Times New Roman" w:cs="Times New Roman"/>
          <w:sz w:val="20"/>
          <w:szCs w:val="20"/>
        </w:rPr>
      </w:pPr>
      <w:r w:rsidRPr="00214D8F">
        <w:rPr>
          <w:rFonts w:ascii="Times New Roman" w:hAnsi="Times New Roman" w:cs="Times New Roman"/>
          <w:b/>
          <w:sz w:val="20"/>
          <w:szCs w:val="20"/>
        </w:rPr>
        <w:t xml:space="preserve">Observation </w:t>
      </w:r>
      <w:r w:rsidR="00D631A5">
        <w:rPr>
          <w:rFonts w:ascii="Times New Roman" w:hAnsi="Times New Roman" w:cs="Times New Roman"/>
          <w:b/>
          <w:sz w:val="20"/>
          <w:szCs w:val="20"/>
        </w:rPr>
        <w:t>2</w:t>
      </w:r>
      <w:r w:rsidRPr="00214D8F">
        <w:rPr>
          <w:rFonts w:ascii="Times New Roman" w:hAnsi="Times New Roman" w:cs="Times New Roman"/>
          <w:b/>
          <w:sz w:val="20"/>
          <w:szCs w:val="20"/>
        </w:rPr>
        <w:t>:</w:t>
      </w:r>
      <w:r>
        <w:rPr>
          <w:rFonts w:ascii="Times New Roman" w:hAnsi="Times New Roman" w:cs="Times New Roman"/>
          <w:sz w:val="20"/>
          <w:szCs w:val="20"/>
        </w:rPr>
        <w:t xml:space="preserve">  For higher code rates, CRC bits used for error detection increases effective code rate of the coding scheme. This is visible </w:t>
      </w:r>
      <w:r w:rsidR="00D631A5">
        <w:rPr>
          <w:rFonts w:ascii="Times New Roman" w:hAnsi="Times New Roman" w:cs="Times New Roman"/>
          <w:sz w:val="20"/>
          <w:szCs w:val="20"/>
        </w:rPr>
        <w:t>especially</w:t>
      </w:r>
      <w:r>
        <w:rPr>
          <w:rFonts w:ascii="Times New Roman" w:hAnsi="Times New Roman" w:cs="Times New Roman"/>
          <w:sz w:val="20"/>
          <w:szCs w:val="20"/>
        </w:rPr>
        <w:t xml:space="preserve"> for lower block sizes. </w:t>
      </w:r>
      <w:r w:rsidR="00D631A5">
        <w:rPr>
          <w:rFonts w:ascii="Times New Roman" w:hAnsi="Times New Roman" w:cs="Times New Roman"/>
          <w:sz w:val="20"/>
          <w:szCs w:val="20"/>
        </w:rPr>
        <w:t xml:space="preserve">When the code operates </w:t>
      </w:r>
      <w:r w:rsidR="008342F5">
        <w:rPr>
          <w:rFonts w:ascii="Times New Roman" w:hAnsi="Times New Roman" w:cs="Times New Roman"/>
          <w:sz w:val="20"/>
          <w:szCs w:val="20"/>
        </w:rPr>
        <w:t>at</w:t>
      </w:r>
      <w:r w:rsidR="00D631A5">
        <w:rPr>
          <w:rFonts w:ascii="Times New Roman" w:hAnsi="Times New Roman" w:cs="Times New Roman"/>
          <w:sz w:val="20"/>
          <w:szCs w:val="20"/>
        </w:rPr>
        <w:t xml:space="preserve"> high code rates, this limits the number of parity bits. </w:t>
      </w:r>
    </w:p>
    <w:p w14:paraId="1994D722" w14:textId="497BCD2E" w:rsidR="00B20EFF" w:rsidRDefault="00B20EFF" w:rsidP="00B20EFF">
      <w:pPr>
        <w:jc w:val="both"/>
        <w:rPr>
          <w:rFonts w:ascii="Times New Roman" w:hAnsi="Times New Roman" w:cs="Times New Roman"/>
          <w:sz w:val="20"/>
          <w:szCs w:val="20"/>
        </w:rPr>
      </w:pPr>
      <w:r w:rsidRPr="00214D8F">
        <w:rPr>
          <w:rFonts w:ascii="Times New Roman" w:hAnsi="Times New Roman" w:cs="Times New Roman"/>
          <w:b/>
          <w:sz w:val="20"/>
          <w:szCs w:val="20"/>
        </w:rPr>
        <w:t xml:space="preserve">Proposal </w:t>
      </w:r>
      <w:r w:rsidR="00D631A5">
        <w:rPr>
          <w:rFonts w:ascii="Times New Roman" w:hAnsi="Times New Roman" w:cs="Times New Roman"/>
          <w:b/>
          <w:sz w:val="20"/>
          <w:szCs w:val="20"/>
        </w:rPr>
        <w:t>2</w:t>
      </w:r>
      <w:r w:rsidRPr="00214D8F">
        <w:rPr>
          <w:rFonts w:ascii="Times New Roman" w:hAnsi="Times New Roman" w:cs="Times New Roman"/>
          <w:b/>
          <w:sz w:val="20"/>
          <w:szCs w:val="20"/>
        </w:rPr>
        <w:t>:</w:t>
      </w:r>
      <w:r>
        <w:rPr>
          <w:rFonts w:ascii="Times New Roman" w:hAnsi="Times New Roman" w:cs="Times New Roman"/>
          <w:sz w:val="20"/>
          <w:szCs w:val="20"/>
        </w:rPr>
        <w:t xml:space="preserve"> For </w:t>
      </w:r>
      <w:r w:rsidR="00D631A5">
        <w:rPr>
          <w:rFonts w:ascii="Times New Roman" w:hAnsi="Times New Roman" w:cs="Times New Roman"/>
          <w:sz w:val="20"/>
          <w:szCs w:val="20"/>
        </w:rPr>
        <w:t>eMBB</w:t>
      </w:r>
      <w:r>
        <w:rPr>
          <w:rFonts w:ascii="Times New Roman" w:hAnsi="Times New Roman" w:cs="Times New Roman"/>
          <w:sz w:val="20"/>
          <w:szCs w:val="20"/>
        </w:rPr>
        <w:t>,</w:t>
      </w:r>
      <w:r w:rsidR="00D631A5">
        <w:rPr>
          <w:rFonts w:ascii="Times New Roman" w:hAnsi="Times New Roman" w:cs="Times New Roman"/>
          <w:sz w:val="20"/>
          <w:szCs w:val="20"/>
        </w:rPr>
        <w:t xml:space="preserve"> the impact on the simulation results are mainly for shorter blocks less than 600 info block. For larger blocks, a significant variation may not be there. </w:t>
      </w:r>
      <w:r>
        <w:rPr>
          <w:rFonts w:ascii="Times New Roman" w:hAnsi="Times New Roman" w:cs="Times New Roman"/>
          <w:sz w:val="20"/>
          <w:szCs w:val="20"/>
        </w:rPr>
        <w:t xml:space="preserve"> </w:t>
      </w:r>
    </w:p>
    <w:p w14:paraId="3185DB72" w14:textId="57CB66E3" w:rsidR="0085573A" w:rsidRDefault="0085573A" w:rsidP="0085573A">
      <w:pPr>
        <w:pStyle w:val="Heading2"/>
        <w:rPr>
          <w:lang w:eastAsia="zh-CN"/>
        </w:rPr>
      </w:pPr>
      <w:r>
        <w:rPr>
          <w:lang w:eastAsia="zh-CN"/>
        </w:rPr>
        <w:lastRenderedPageBreak/>
        <w:t>2.2</w:t>
      </w:r>
      <w:r>
        <w:rPr>
          <w:lang w:eastAsia="zh-CN"/>
        </w:rPr>
        <w:tab/>
        <w:t>CRC bits for LDPC codes</w:t>
      </w:r>
    </w:p>
    <w:p w14:paraId="759C9720" w14:textId="169FA5EB" w:rsidR="00223895" w:rsidRPr="00223895" w:rsidRDefault="00223895" w:rsidP="00223895">
      <w:pPr>
        <w:jc w:val="both"/>
        <w:rPr>
          <w:rFonts w:ascii="Times New Roman" w:hAnsi="Times New Roman" w:cs="Times New Roman"/>
          <w:sz w:val="20"/>
          <w:szCs w:val="20"/>
        </w:rPr>
      </w:pPr>
      <w:r w:rsidRPr="00223895">
        <w:rPr>
          <w:rFonts w:ascii="Times New Roman" w:hAnsi="Times New Roman" w:cs="Times New Roman"/>
          <w:sz w:val="20"/>
          <w:szCs w:val="20"/>
        </w:rPr>
        <w:t xml:space="preserve">According to the observations we had in the previous section, the impact of the CRC bits is high for the shorter block sizes. As different codes have various criteria for error detection, it is fair to analyse the impact of such error detection mechanisms and their effects on the effective coding rate. In this section, we investigate the error detection statistics of LDPC parity check and propose number of CRC bit to be used in the performance evaluations. We consider info block of 100 bits with code rate 1/12, 1/6, 1/3, ½, 2/3, ¾, and 5/6. </w:t>
      </w:r>
    </w:p>
    <w:p w14:paraId="44303539" w14:textId="4725465F" w:rsidR="00223895" w:rsidRDefault="00223895" w:rsidP="00B20EFF">
      <w:pPr>
        <w:jc w:val="both"/>
        <w:rPr>
          <w:rFonts w:ascii="Times New Roman" w:hAnsi="Times New Roman" w:cs="Times New Roman"/>
          <w:sz w:val="20"/>
          <w:szCs w:val="20"/>
        </w:rPr>
      </w:pPr>
      <w:r w:rsidRPr="00223895">
        <w:rPr>
          <w:rFonts w:ascii="Times New Roman" w:hAnsi="Times New Roman" w:cs="Times New Roman"/>
          <w:sz w:val="20"/>
          <w:szCs w:val="20"/>
        </w:rPr>
        <w:t xml:space="preserve">Figure 7 shows BLER and syndrome BLER of LDPC codes for different code rates. Here, BLER is the actual block error rate, and syndrome BLER reflects the error rate detected by the parity check method. Both measures are taken after 50 iterations of off-set min-sum decoding. As we can see, there is no huge difference between two cases. </w:t>
      </w:r>
      <w:r>
        <w:rPr>
          <w:rFonts w:ascii="Times New Roman" w:hAnsi="Times New Roman" w:cs="Times New Roman"/>
          <w:sz w:val="20"/>
          <w:szCs w:val="20"/>
        </w:rPr>
        <w:t xml:space="preserve"> </w:t>
      </w:r>
    </w:p>
    <w:p w14:paraId="241B0DA7" w14:textId="39552951" w:rsidR="00EC4932" w:rsidRDefault="00EC4932" w:rsidP="00CD124D">
      <w:pPr>
        <w:rPr>
          <w:rFonts w:ascii="Times New Roman" w:hAnsi="Times New Roman" w:cs="Times New Roman"/>
          <w:sz w:val="20"/>
          <w:szCs w:val="20"/>
        </w:rPr>
      </w:pPr>
      <w:r w:rsidRPr="00EC4932">
        <w:rPr>
          <w:rFonts w:ascii="Times New Roman" w:hAnsi="Times New Roman" w:cs="Times New Roman"/>
          <w:noProof/>
          <w:sz w:val="20"/>
          <w:szCs w:val="20"/>
          <w:lang w:eastAsia="en-GB"/>
        </w:rPr>
        <w:lastRenderedPageBreak/>
        <w:drawing>
          <wp:inline distT="0" distB="0" distL="0" distR="0" wp14:anchorId="46A3F43B" wp14:editId="7DE40C50">
            <wp:extent cx="6120765" cy="323793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765" cy="3237937"/>
                    </a:xfrm>
                    <a:prstGeom prst="rect">
                      <a:avLst/>
                    </a:prstGeom>
                    <a:noFill/>
                    <a:ln>
                      <a:noFill/>
                    </a:ln>
                  </pic:spPr>
                </pic:pic>
              </a:graphicData>
            </a:graphic>
          </wp:inline>
        </w:drawing>
      </w:r>
    </w:p>
    <w:p w14:paraId="74B597D0" w14:textId="493CFFDA" w:rsidR="00223895" w:rsidRDefault="00223895" w:rsidP="00223895">
      <w:pPr>
        <w:jc w:val="center"/>
        <w:rPr>
          <w:rFonts w:ascii="Times New Roman" w:hAnsi="Times New Roman" w:cs="Times New Roman"/>
          <w:sz w:val="20"/>
          <w:szCs w:val="20"/>
        </w:rPr>
      </w:pPr>
      <w:r>
        <w:rPr>
          <w:rFonts w:ascii="Times New Roman" w:hAnsi="Times New Roman" w:cs="Times New Roman"/>
          <w:sz w:val="20"/>
          <w:szCs w:val="20"/>
        </w:rPr>
        <w:t>Figure 7: BLER and Syndrome BLER versus SNR for several code rates with info block = 100 bits</w:t>
      </w:r>
    </w:p>
    <w:p w14:paraId="3855A592" w14:textId="77777777" w:rsidR="006A7B5F" w:rsidRDefault="006A7B5F" w:rsidP="00B20EFF">
      <w:pPr>
        <w:jc w:val="both"/>
        <w:rPr>
          <w:rFonts w:ascii="Times New Roman" w:hAnsi="Times New Roman" w:cs="Times New Roman"/>
          <w:sz w:val="20"/>
          <w:szCs w:val="20"/>
        </w:rPr>
      </w:pPr>
    </w:p>
    <w:p w14:paraId="756F9D5E" w14:textId="77777777" w:rsidR="00454D50" w:rsidRPr="00454D50" w:rsidRDefault="00454D50" w:rsidP="00454D50">
      <w:pPr>
        <w:jc w:val="both"/>
        <w:rPr>
          <w:rFonts w:ascii="Times New Roman" w:hAnsi="Times New Roman" w:cs="Times New Roman"/>
          <w:sz w:val="20"/>
          <w:szCs w:val="20"/>
        </w:rPr>
      </w:pPr>
      <w:r w:rsidRPr="00454D50">
        <w:rPr>
          <w:rFonts w:ascii="Times New Roman" w:hAnsi="Times New Roman" w:cs="Times New Roman"/>
          <w:sz w:val="20"/>
          <w:szCs w:val="20"/>
        </w:rPr>
        <w:t xml:space="preserve">Next, as in Figure 8, the false alarm rate (FAR) and miss rates (MR) of the parity check is examined with operating SNR. False alarm and miss rate as defined as below, </w:t>
      </w:r>
    </w:p>
    <w:p w14:paraId="55F52545" w14:textId="77777777" w:rsidR="00454D50" w:rsidRPr="00454D50" w:rsidRDefault="00454D50" w:rsidP="00454D50">
      <w:pPr>
        <w:jc w:val="both"/>
        <w:rPr>
          <w:rFonts w:ascii="Times New Roman" w:hAnsi="Times New Roman" w:cs="Times New Roman"/>
          <w:sz w:val="20"/>
          <w:szCs w:val="20"/>
        </w:rPr>
      </w:pPr>
      <w:r w:rsidRPr="00454D50">
        <w:rPr>
          <w:rFonts w:ascii="Times New Roman" w:hAnsi="Times New Roman" w:cs="Times New Roman"/>
          <w:b/>
          <w:sz w:val="20"/>
          <w:szCs w:val="20"/>
        </w:rPr>
        <w:t>FAR:</w:t>
      </w:r>
      <w:r w:rsidRPr="00454D50">
        <w:rPr>
          <w:rFonts w:ascii="Times New Roman" w:hAnsi="Times New Roman" w:cs="Times New Roman"/>
          <w:sz w:val="20"/>
          <w:szCs w:val="20"/>
        </w:rPr>
        <w:t xml:space="preserve"> In some cases, the parity check can pass for the incorrectly decoded blocks and these know as false alarms or false positives. The ratio between numbers of blocks decoded as correct while they are incorrect to the total errored blocks is defined as FAR. </w:t>
      </w:r>
    </w:p>
    <w:p w14:paraId="38A3A74D" w14:textId="77777777" w:rsidR="00454D50" w:rsidRPr="00454D50" w:rsidRDefault="00454D50" w:rsidP="00454D50">
      <w:pPr>
        <w:jc w:val="both"/>
        <w:rPr>
          <w:rFonts w:ascii="Times New Roman" w:hAnsi="Times New Roman" w:cs="Times New Roman"/>
          <w:sz w:val="20"/>
          <w:szCs w:val="20"/>
        </w:rPr>
      </w:pPr>
      <w:r w:rsidRPr="00454D50">
        <w:rPr>
          <w:rFonts w:ascii="Times New Roman" w:hAnsi="Times New Roman" w:cs="Times New Roman"/>
          <w:b/>
          <w:sz w:val="20"/>
          <w:szCs w:val="20"/>
        </w:rPr>
        <w:lastRenderedPageBreak/>
        <w:t>MR:</w:t>
      </w:r>
      <w:r w:rsidRPr="00454D50">
        <w:rPr>
          <w:rFonts w:ascii="Times New Roman" w:hAnsi="Times New Roman" w:cs="Times New Roman"/>
          <w:sz w:val="20"/>
          <w:szCs w:val="20"/>
        </w:rPr>
        <w:t xml:space="preserve"> Parity check can fail for the correctly decoded blocks and known as a miss detection. This is not that critical compared to the false alarms. In general, MR defines as the ratio between missed detection blocks and the number of correctly decoded blocks. </w:t>
      </w:r>
    </w:p>
    <w:p w14:paraId="74BCBC28" w14:textId="77777777" w:rsidR="00454D50" w:rsidRDefault="00454D50" w:rsidP="00454D50">
      <w:pPr>
        <w:jc w:val="both"/>
        <w:rPr>
          <w:rFonts w:ascii="Times New Roman" w:hAnsi="Times New Roman" w:cs="Times New Roman"/>
          <w:sz w:val="20"/>
          <w:szCs w:val="20"/>
        </w:rPr>
      </w:pPr>
      <w:r w:rsidRPr="00454D50">
        <w:rPr>
          <w:rFonts w:ascii="Times New Roman" w:hAnsi="Times New Roman" w:cs="Times New Roman"/>
          <w:sz w:val="20"/>
          <w:szCs w:val="20"/>
        </w:rPr>
        <w:t xml:space="preserve">The FAR increases with SNR, in other terms to achieve given BLER target, and MR decreases with the SNR. Overall, all coding rates have a similar behaviour.  </w:t>
      </w:r>
    </w:p>
    <w:p w14:paraId="3408200E" w14:textId="0060F4CC" w:rsidR="007469EE" w:rsidRDefault="00EC4932" w:rsidP="00454D50">
      <w:pPr>
        <w:jc w:val="center"/>
        <w:rPr>
          <w:rFonts w:ascii="Times New Roman" w:hAnsi="Times New Roman" w:cs="Times New Roman"/>
          <w:sz w:val="20"/>
          <w:szCs w:val="20"/>
        </w:rPr>
      </w:pPr>
      <w:r w:rsidRPr="00EC4932">
        <w:rPr>
          <w:rFonts w:ascii="Times New Roman" w:hAnsi="Times New Roman" w:cs="Times New Roman"/>
          <w:noProof/>
          <w:sz w:val="20"/>
          <w:szCs w:val="20"/>
          <w:lang w:eastAsia="en-GB"/>
        </w:rPr>
        <w:drawing>
          <wp:inline distT="0" distB="0" distL="0" distR="0" wp14:anchorId="2B2A8131" wp14:editId="74865F82">
            <wp:extent cx="6120765" cy="319060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765" cy="3190602"/>
                    </a:xfrm>
                    <a:prstGeom prst="rect">
                      <a:avLst/>
                    </a:prstGeom>
                    <a:noFill/>
                    <a:ln>
                      <a:noFill/>
                    </a:ln>
                  </pic:spPr>
                </pic:pic>
              </a:graphicData>
            </a:graphic>
          </wp:inline>
        </w:drawing>
      </w:r>
    </w:p>
    <w:p w14:paraId="21EE0218" w14:textId="0124C384" w:rsidR="006A7B5F" w:rsidRDefault="006A7B5F" w:rsidP="006A7B5F">
      <w:pPr>
        <w:jc w:val="center"/>
        <w:rPr>
          <w:rFonts w:ascii="Times New Roman" w:hAnsi="Times New Roman" w:cs="Times New Roman"/>
          <w:sz w:val="20"/>
          <w:szCs w:val="20"/>
        </w:rPr>
      </w:pPr>
      <w:r>
        <w:rPr>
          <w:rFonts w:ascii="Times New Roman" w:hAnsi="Times New Roman" w:cs="Times New Roman"/>
          <w:sz w:val="20"/>
          <w:szCs w:val="20"/>
        </w:rPr>
        <w:t>Figure 8: LDPC parity check FAR and MR versus SNR for several code rates with info block = 100 bits</w:t>
      </w:r>
    </w:p>
    <w:p w14:paraId="52B33DF6" w14:textId="77777777" w:rsidR="00454D50" w:rsidRDefault="00454D50" w:rsidP="00320768">
      <w:pPr>
        <w:jc w:val="both"/>
        <w:rPr>
          <w:rFonts w:ascii="Times New Roman" w:hAnsi="Times New Roman" w:cs="Times New Roman"/>
          <w:sz w:val="20"/>
          <w:szCs w:val="20"/>
        </w:rPr>
      </w:pPr>
    </w:p>
    <w:p w14:paraId="024F479F" w14:textId="3156AB3C" w:rsidR="00454D50" w:rsidRDefault="00454D50" w:rsidP="00320768">
      <w:pPr>
        <w:jc w:val="both"/>
        <w:rPr>
          <w:rFonts w:ascii="Times New Roman" w:hAnsi="Times New Roman" w:cs="Times New Roman"/>
          <w:sz w:val="20"/>
          <w:szCs w:val="20"/>
        </w:rPr>
      </w:pPr>
      <w:r>
        <w:rPr>
          <w:rFonts w:ascii="Times New Roman" w:hAnsi="Times New Roman" w:cs="Times New Roman"/>
          <w:sz w:val="20"/>
          <w:szCs w:val="20"/>
        </w:rPr>
        <w:lastRenderedPageBreak/>
        <w:t xml:space="preserve">Next, we consider 6 bit CRC polynomial used in ITU-T G.704, which is x6 + x +1, attaches it prior to the encoding and use that to improve the error detection. Figure 9 shows FAR for parity check only and FAR for parity check + CRC check in the same figure for different code rates. </w:t>
      </w:r>
    </w:p>
    <w:p w14:paraId="620AE374" w14:textId="60132BE4" w:rsidR="00EC4932" w:rsidRDefault="00CD124D" w:rsidP="00320768">
      <w:pPr>
        <w:jc w:val="both"/>
        <w:rPr>
          <w:rFonts w:ascii="Times New Roman" w:hAnsi="Times New Roman" w:cs="Times New Roman"/>
          <w:sz w:val="20"/>
          <w:szCs w:val="20"/>
        </w:rPr>
      </w:pPr>
      <w:r w:rsidRPr="00CD124D">
        <w:rPr>
          <w:rFonts w:ascii="Times New Roman" w:hAnsi="Times New Roman" w:cs="Times New Roman"/>
          <w:noProof/>
          <w:sz w:val="20"/>
          <w:szCs w:val="20"/>
          <w:lang w:eastAsia="en-GB"/>
        </w:rPr>
        <w:drawing>
          <wp:inline distT="0" distB="0" distL="0" distR="0" wp14:anchorId="5B42529F" wp14:editId="65C79410">
            <wp:extent cx="6120765" cy="316216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3162168"/>
                    </a:xfrm>
                    <a:prstGeom prst="rect">
                      <a:avLst/>
                    </a:prstGeom>
                    <a:noFill/>
                    <a:ln>
                      <a:noFill/>
                    </a:ln>
                  </pic:spPr>
                </pic:pic>
              </a:graphicData>
            </a:graphic>
          </wp:inline>
        </w:drawing>
      </w:r>
    </w:p>
    <w:p w14:paraId="06C95B24" w14:textId="473BD53D" w:rsidR="006A7B5F" w:rsidRDefault="006A7B5F" w:rsidP="006A7B5F">
      <w:pPr>
        <w:jc w:val="center"/>
        <w:rPr>
          <w:rFonts w:ascii="Times New Roman" w:hAnsi="Times New Roman" w:cs="Times New Roman"/>
          <w:sz w:val="20"/>
          <w:szCs w:val="20"/>
        </w:rPr>
      </w:pPr>
      <w:r>
        <w:rPr>
          <w:rFonts w:ascii="Times New Roman" w:hAnsi="Times New Roman" w:cs="Times New Roman"/>
          <w:sz w:val="20"/>
          <w:szCs w:val="20"/>
        </w:rPr>
        <w:t>Figure 9: LDPC parity check plus CRC</w:t>
      </w:r>
      <w:r w:rsidR="000A1175">
        <w:rPr>
          <w:rFonts w:ascii="Times New Roman" w:hAnsi="Times New Roman" w:cs="Times New Roman"/>
          <w:sz w:val="20"/>
          <w:szCs w:val="20"/>
        </w:rPr>
        <w:t xml:space="preserve"> (6 bits)</w:t>
      </w:r>
      <w:r>
        <w:rPr>
          <w:rFonts w:ascii="Times New Roman" w:hAnsi="Times New Roman" w:cs="Times New Roman"/>
          <w:sz w:val="20"/>
          <w:szCs w:val="20"/>
        </w:rPr>
        <w:t xml:space="preserve"> check FAR and MR versus SNR</w:t>
      </w:r>
      <w:r w:rsidR="000A1175">
        <w:rPr>
          <w:rFonts w:ascii="Times New Roman" w:hAnsi="Times New Roman" w:cs="Times New Roman"/>
          <w:sz w:val="20"/>
          <w:szCs w:val="20"/>
        </w:rPr>
        <w:t>. I</w:t>
      </w:r>
      <w:r>
        <w:rPr>
          <w:rFonts w:ascii="Times New Roman" w:hAnsi="Times New Roman" w:cs="Times New Roman"/>
          <w:sz w:val="20"/>
          <w:szCs w:val="20"/>
        </w:rPr>
        <w:t>nfo block = 100 bits</w:t>
      </w:r>
    </w:p>
    <w:p w14:paraId="4E5DFD40" w14:textId="77777777" w:rsidR="006A7B5F" w:rsidRDefault="006A7B5F" w:rsidP="00320768">
      <w:pPr>
        <w:jc w:val="both"/>
        <w:rPr>
          <w:rFonts w:ascii="Times New Roman" w:hAnsi="Times New Roman" w:cs="Times New Roman"/>
          <w:sz w:val="20"/>
          <w:szCs w:val="20"/>
        </w:rPr>
      </w:pPr>
    </w:p>
    <w:p w14:paraId="348820BA" w14:textId="05CA2E6F" w:rsidR="00CD124D" w:rsidRDefault="00454D50" w:rsidP="00320768">
      <w:pPr>
        <w:jc w:val="both"/>
        <w:rPr>
          <w:rFonts w:ascii="Times New Roman" w:hAnsi="Times New Roman" w:cs="Times New Roman"/>
          <w:sz w:val="20"/>
          <w:szCs w:val="20"/>
        </w:rPr>
      </w:pPr>
      <w:r>
        <w:rPr>
          <w:rFonts w:ascii="Times New Roman" w:hAnsi="Times New Roman" w:cs="Times New Roman"/>
          <w:sz w:val="20"/>
          <w:szCs w:val="20"/>
        </w:rPr>
        <w:t>As we can see from Figure 9, CRC bits</w:t>
      </w:r>
      <w:r w:rsidR="00355E7B">
        <w:rPr>
          <w:rFonts w:ascii="Times New Roman" w:hAnsi="Times New Roman" w:cs="Times New Roman"/>
          <w:sz w:val="20"/>
          <w:szCs w:val="20"/>
        </w:rPr>
        <w:t xml:space="preserve"> </w:t>
      </w:r>
      <w:r>
        <w:rPr>
          <w:rFonts w:ascii="Times New Roman" w:hAnsi="Times New Roman" w:cs="Times New Roman"/>
          <w:sz w:val="20"/>
          <w:szCs w:val="20"/>
        </w:rPr>
        <w:t xml:space="preserve">improves the FAR. </w:t>
      </w:r>
      <w:r w:rsidR="00355E7B">
        <w:rPr>
          <w:rFonts w:ascii="Times New Roman" w:hAnsi="Times New Roman" w:cs="Times New Roman"/>
          <w:sz w:val="20"/>
          <w:szCs w:val="20"/>
        </w:rPr>
        <w:t>In this c</w:t>
      </w:r>
      <w:r w:rsidR="00834881">
        <w:rPr>
          <w:rFonts w:ascii="Times New Roman" w:hAnsi="Times New Roman" w:cs="Times New Roman"/>
          <w:sz w:val="20"/>
          <w:szCs w:val="20"/>
        </w:rPr>
        <w:t>ase, we used 6 CRC bits, and 2</w:t>
      </w:r>
      <w:r w:rsidR="00834881" w:rsidRPr="00834881">
        <w:rPr>
          <w:rFonts w:ascii="Times New Roman" w:hAnsi="Times New Roman" w:cs="Times New Roman"/>
          <w:sz w:val="20"/>
          <w:szCs w:val="20"/>
          <w:vertAlign w:val="superscript"/>
        </w:rPr>
        <w:t>-6</w:t>
      </w:r>
      <w:r w:rsidR="00355E7B">
        <w:rPr>
          <w:rFonts w:ascii="Times New Roman" w:hAnsi="Times New Roman" w:cs="Times New Roman"/>
          <w:sz w:val="20"/>
          <w:szCs w:val="20"/>
        </w:rPr>
        <w:t xml:space="preserve"> </w:t>
      </w:r>
      <w:r w:rsidR="00834881">
        <w:rPr>
          <w:rFonts w:ascii="Times New Roman" w:hAnsi="Times New Roman" w:cs="Times New Roman"/>
          <w:sz w:val="20"/>
          <w:szCs w:val="20"/>
        </w:rPr>
        <w:t xml:space="preserve">(=0.0156) </w:t>
      </w:r>
      <w:r>
        <w:rPr>
          <w:rFonts w:ascii="Times New Roman" w:hAnsi="Times New Roman" w:cs="Times New Roman"/>
          <w:sz w:val="20"/>
          <w:szCs w:val="20"/>
        </w:rPr>
        <w:t xml:space="preserve">times reduction in FAR can be seen from the Figure 9. </w:t>
      </w:r>
      <w:r w:rsidR="00430C5B">
        <w:rPr>
          <w:rFonts w:ascii="Times New Roman" w:hAnsi="Times New Roman" w:cs="Times New Roman"/>
          <w:sz w:val="20"/>
          <w:szCs w:val="20"/>
        </w:rPr>
        <w:t xml:space="preserve">This is following the CRC FAR definitions, i.e., </w:t>
      </w:r>
      <w:r w:rsidR="00430C5B">
        <w:rPr>
          <w:rFonts w:ascii="Times New Roman" w:hAnsi="Times New Roman" w:cs="Times New Roman"/>
          <w:sz w:val="20"/>
          <w:szCs w:val="20"/>
        </w:rPr>
        <w:lastRenderedPageBreak/>
        <w:t>roughly 2</w:t>
      </w:r>
      <w:r w:rsidR="00430C5B" w:rsidRPr="00430C5B">
        <w:rPr>
          <w:rFonts w:ascii="Times New Roman" w:hAnsi="Times New Roman" w:cs="Times New Roman"/>
          <w:sz w:val="20"/>
          <w:szCs w:val="20"/>
          <w:vertAlign w:val="superscript"/>
        </w:rPr>
        <w:t>-L</w:t>
      </w:r>
      <w:r w:rsidR="00430C5B">
        <w:rPr>
          <w:rFonts w:ascii="Times New Roman" w:hAnsi="Times New Roman" w:cs="Times New Roman"/>
          <w:sz w:val="20"/>
          <w:szCs w:val="20"/>
        </w:rPr>
        <w:t xml:space="preserve"> FAR can be achieved with L CRC bits. In summary, we have following observations and proposals. </w:t>
      </w:r>
    </w:p>
    <w:p w14:paraId="4A0123E0" w14:textId="58CA4742" w:rsidR="00834881" w:rsidRDefault="00834881" w:rsidP="00320768">
      <w:pPr>
        <w:jc w:val="both"/>
        <w:rPr>
          <w:rFonts w:ascii="Times New Roman" w:hAnsi="Times New Roman" w:cs="Times New Roman"/>
          <w:sz w:val="20"/>
          <w:szCs w:val="20"/>
        </w:rPr>
      </w:pPr>
      <w:r w:rsidRPr="00834881">
        <w:rPr>
          <w:rFonts w:ascii="Times New Roman" w:hAnsi="Times New Roman" w:cs="Times New Roman"/>
          <w:b/>
          <w:sz w:val="20"/>
          <w:szCs w:val="20"/>
        </w:rPr>
        <w:t xml:space="preserve">Observation 3: </w:t>
      </w:r>
      <w:r>
        <w:rPr>
          <w:rFonts w:ascii="Times New Roman" w:hAnsi="Times New Roman" w:cs="Times New Roman"/>
          <w:sz w:val="20"/>
          <w:szCs w:val="20"/>
        </w:rPr>
        <w:t>When BLER operating point is at 1%, the FAR of the LDPC parity check is in the range of ~10</w:t>
      </w:r>
      <w:r w:rsidRPr="00834881">
        <w:rPr>
          <w:rFonts w:ascii="Times New Roman" w:hAnsi="Times New Roman" w:cs="Times New Roman"/>
          <w:sz w:val="20"/>
          <w:szCs w:val="20"/>
          <w:vertAlign w:val="superscript"/>
        </w:rPr>
        <w:t>-2</w:t>
      </w:r>
      <w:r>
        <w:rPr>
          <w:rFonts w:ascii="Times New Roman" w:hAnsi="Times New Roman" w:cs="Times New Roman"/>
          <w:sz w:val="20"/>
          <w:szCs w:val="20"/>
        </w:rPr>
        <w:t xml:space="preserve">. False alarm rate is increasing with the SNR. We expect higher FAR when target BLER is set to 0.01%. </w:t>
      </w:r>
    </w:p>
    <w:p w14:paraId="631C909B" w14:textId="0E614524" w:rsidR="00834881" w:rsidRDefault="00834881" w:rsidP="00320768">
      <w:pPr>
        <w:jc w:val="both"/>
        <w:rPr>
          <w:rFonts w:ascii="Times New Roman" w:hAnsi="Times New Roman" w:cs="Times New Roman"/>
          <w:sz w:val="20"/>
          <w:szCs w:val="20"/>
        </w:rPr>
      </w:pPr>
      <w:r w:rsidRPr="00834881">
        <w:rPr>
          <w:rFonts w:ascii="Times New Roman" w:hAnsi="Times New Roman" w:cs="Times New Roman"/>
          <w:b/>
          <w:sz w:val="20"/>
          <w:szCs w:val="20"/>
        </w:rPr>
        <w:t>Proposal 3:</w:t>
      </w:r>
      <w:r>
        <w:rPr>
          <w:rFonts w:ascii="Times New Roman" w:hAnsi="Times New Roman" w:cs="Times New Roman"/>
          <w:sz w:val="20"/>
          <w:szCs w:val="20"/>
        </w:rPr>
        <w:t xml:space="preserve"> For the cases, </w:t>
      </w:r>
      <w:r w:rsidRPr="00005FA5">
        <w:rPr>
          <w:rFonts w:ascii="Times New Roman" w:hAnsi="Times New Roman" w:cs="Times New Roman"/>
          <w:sz w:val="20"/>
          <w:szCs w:val="20"/>
        </w:rPr>
        <w:t>where 1% BLER is sufficient, CRC bits to guarantee 16 bit CRC FAR is equal to 8-10 CRC bits. To guarantee 0.01% BLER requirements, the required CRC bits for LDPC can be varied 10-12 bits.</w:t>
      </w:r>
      <w:r>
        <w:rPr>
          <w:rFonts w:ascii="Times New Roman" w:hAnsi="Times New Roman" w:cs="Times New Roman"/>
          <w:sz w:val="20"/>
          <w:szCs w:val="20"/>
        </w:rPr>
        <w:t xml:space="preserve"> </w:t>
      </w:r>
    </w:p>
    <w:p w14:paraId="63302D98" w14:textId="38ED97B8" w:rsidR="00834881" w:rsidRPr="0035013E" w:rsidRDefault="00834881" w:rsidP="00834881">
      <w:pPr>
        <w:jc w:val="both"/>
        <w:rPr>
          <w:rFonts w:ascii="Times New Roman" w:hAnsi="Times New Roman" w:cs="Times New Roman"/>
          <w:sz w:val="20"/>
          <w:szCs w:val="20"/>
        </w:rPr>
      </w:pPr>
      <w:r w:rsidRPr="00834881">
        <w:rPr>
          <w:rFonts w:ascii="Times New Roman" w:hAnsi="Times New Roman" w:cs="Times New Roman"/>
          <w:b/>
          <w:sz w:val="20"/>
          <w:szCs w:val="20"/>
        </w:rPr>
        <w:t>Proposal 4:</w:t>
      </w:r>
      <w:r>
        <w:rPr>
          <w:rFonts w:ascii="Times New Roman" w:hAnsi="Times New Roman" w:cs="Times New Roman"/>
          <w:sz w:val="20"/>
          <w:szCs w:val="20"/>
        </w:rPr>
        <w:t xml:space="preserve"> For the cases, </w:t>
      </w:r>
      <w:r w:rsidRPr="00005FA5">
        <w:rPr>
          <w:rFonts w:ascii="Times New Roman" w:hAnsi="Times New Roman" w:cs="Times New Roman"/>
          <w:sz w:val="20"/>
          <w:szCs w:val="20"/>
        </w:rPr>
        <w:t>where 1% BLER is sufficient, CRC bits to guarantee 24 bit CRC FAR is equal to 16-18 CRC bits. To guarantee 0.01% BLER requirements, the required CRC bits for LDPC can be varied 18-20 bits.</w:t>
      </w:r>
      <w:r>
        <w:rPr>
          <w:rFonts w:ascii="Times New Roman" w:hAnsi="Times New Roman" w:cs="Times New Roman"/>
          <w:sz w:val="20"/>
          <w:szCs w:val="20"/>
        </w:rPr>
        <w:t xml:space="preserve"> </w:t>
      </w:r>
    </w:p>
    <w:p w14:paraId="620E2FAE" w14:textId="77777777" w:rsidR="00834881" w:rsidRPr="0035013E" w:rsidRDefault="00834881" w:rsidP="00320768">
      <w:pPr>
        <w:jc w:val="both"/>
        <w:rPr>
          <w:rFonts w:ascii="Times New Roman" w:hAnsi="Times New Roman" w:cs="Times New Roman"/>
          <w:sz w:val="20"/>
          <w:szCs w:val="20"/>
        </w:rPr>
      </w:pPr>
    </w:p>
    <w:p w14:paraId="2F250B90" w14:textId="4026197A" w:rsidR="0061657A" w:rsidRPr="00817ECB" w:rsidRDefault="0061657A" w:rsidP="0061657A">
      <w:pPr>
        <w:pStyle w:val="Heading1"/>
      </w:pPr>
      <w:r w:rsidRPr="003F3B54">
        <w:rPr>
          <w:lang w:eastAsia="zh-CN"/>
        </w:rPr>
        <w:t>3</w:t>
      </w:r>
      <w:r w:rsidRPr="003F3B54">
        <w:tab/>
        <w:t>Conclusion</w:t>
      </w:r>
    </w:p>
    <w:p w14:paraId="068ED1F1" w14:textId="77777777" w:rsidR="00FE150F" w:rsidRDefault="00FE150F" w:rsidP="00FE150F">
      <w:pPr>
        <w:jc w:val="both"/>
        <w:rPr>
          <w:rFonts w:ascii="Times New Roman" w:hAnsi="Times New Roman" w:cs="Times New Roman"/>
          <w:sz w:val="20"/>
          <w:szCs w:val="20"/>
        </w:rPr>
      </w:pPr>
      <w:r w:rsidRPr="00214D8F">
        <w:rPr>
          <w:rFonts w:ascii="Times New Roman" w:hAnsi="Times New Roman" w:cs="Times New Roman"/>
          <w:b/>
          <w:sz w:val="20"/>
          <w:szCs w:val="20"/>
        </w:rPr>
        <w:t>Observation 1:</w:t>
      </w:r>
      <w:r>
        <w:rPr>
          <w:rFonts w:ascii="Times New Roman" w:hAnsi="Times New Roman" w:cs="Times New Roman"/>
          <w:sz w:val="20"/>
          <w:szCs w:val="20"/>
        </w:rPr>
        <w:t xml:space="preserve">  For lower block sizes, CRC bits used for error detection increases effective code rate of the coding scheme. </w:t>
      </w:r>
    </w:p>
    <w:p w14:paraId="3018BE1A" w14:textId="77777777" w:rsidR="00FE150F" w:rsidRDefault="00FE150F" w:rsidP="00FE150F">
      <w:pPr>
        <w:jc w:val="both"/>
        <w:rPr>
          <w:rFonts w:ascii="Times New Roman" w:hAnsi="Times New Roman" w:cs="Times New Roman"/>
          <w:sz w:val="20"/>
          <w:szCs w:val="20"/>
        </w:rPr>
      </w:pPr>
      <w:r w:rsidRPr="00214D8F">
        <w:rPr>
          <w:rFonts w:ascii="Times New Roman" w:hAnsi="Times New Roman" w:cs="Times New Roman"/>
          <w:b/>
          <w:sz w:val="20"/>
          <w:szCs w:val="20"/>
        </w:rPr>
        <w:lastRenderedPageBreak/>
        <w:t>Proposal 1:</w:t>
      </w:r>
      <w:r>
        <w:rPr>
          <w:rFonts w:ascii="Times New Roman" w:hAnsi="Times New Roman" w:cs="Times New Roman"/>
          <w:sz w:val="20"/>
          <w:szCs w:val="20"/>
        </w:rPr>
        <w:t xml:space="preserve"> Error detection performances should be considered together BLER performance analysis. For URLLC, this can be up to 400 info block size for the code rates 1/3 and below. </w:t>
      </w:r>
    </w:p>
    <w:p w14:paraId="462A05CD" w14:textId="77777777" w:rsidR="00430C5B" w:rsidRDefault="00430C5B" w:rsidP="00430C5B">
      <w:pPr>
        <w:jc w:val="both"/>
        <w:rPr>
          <w:rFonts w:ascii="Times New Roman" w:hAnsi="Times New Roman" w:cs="Times New Roman"/>
          <w:sz w:val="20"/>
          <w:szCs w:val="20"/>
        </w:rPr>
      </w:pPr>
      <w:r w:rsidRPr="00214D8F">
        <w:rPr>
          <w:rFonts w:ascii="Times New Roman" w:hAnsi="Times New Roman" w:cs="Times New Roman"/>
          <w:b/>
          <w:sz w:val="20"/>
          <w:szCs w:val="20"/>
        </w:rPr>
        <w:t xml:space="preserve">Observation </w:t>
      </w:r>
      <w:r>
        <w:rPr>
          <w:rFonts w:ascii="Times New Roman" w:hAnsi="Times New Roman" w:cs="Times New Roman"/>
          <w:b/>
          <w:sz w:val="20"/>
          <w:szCs w:val="20"/>
        </w:rPr>
        <w:t>2</w:t>
      </w:r>
      <w:r w:rsidRPr="00214D8F">
        <w:rPr>
          <w:rFonts w:ascii="Times New Roman" w:hAnsi="Times New Roman" w:cs="Times New Roman"/>
          <w:b/>
          <w:sz w:val="20"/>
          <w:szCs w:val="20"/>
        </w:rPr>
        <w:t>:</w:t>
      </w:r>
      <w:r>
        <w:rPr>
          <w:rFonts w:ascii="Times New Roman" w:hAnsi="Times New Roman" w:cs="Times New Roman"/>
          <w:sz w:val="20"/>
          <w:szCs w:val="20"/>
        </w:rPr>
        <w:t xml:space="preserve">  For higher code rates, CRC bits used for error detection increases effective code rate of the coding scheme. This is visible especially for lower block sizes. When the code operates at high code rates, this limits the number of parity bits. </w:t>
      </w:r>
    </w:p>
    <w:p w14:paraId="552D5872" w14:textId="77777777" w:rsidR="00430C5B" w:rsidRDefault="00430C5B" w:rsidP="00430C5B">
      <w:pPr>
        <w:jc w:val="both"/>
        <w:rPr>
          <w:rFonts w:ascii="Times New Roman" w:hAnsi="Times New Roman" w:cs="Times New Roman"/>
          <w:sz w:val="20"/>
          <w:szCs w:val="20"/>
        </w:rPr>
      </w:pPr>
      <w:r w:rsidRPr="00214D8F">
        <w:rPr>
          <w:rFonts w:ascii="Times New Roman" w:hAnsi="Times New Roman" w:cs="Times New Roman"/>
          <w:b/>
          <w:sz w:val="20"/>
          <w:szCs w:val="20"/>
        </w:rPr>
        <w:t xml:space="preserve">Proposal </w:t>
      </w:r>
      <w:r>
        <w:rPr>
          <w:rFonts w:ascii="Times New Roman" w:hAnsi="Times New Roman" w:cs="Times New Roman"/>
          <w:b/>
          <w:sz w:val="20"/>
          <w:szCs w:val="20"/>
        </w:rPr>
        <w:t>2</w:t>
      </w:r>
      <w:r w:rsidRPr="00214D8F">
        <w:rPr>
          <w:rFonts w:ascii="Times New Roman" w:hAnsi="Times New Roman" w:cs="Times New Roman"/>
          <w:b/>
          <w:sz w:val="20"/>
          <w:szCs w:val="20"/>
        </w:rPr>
        <w:t>:</w:t>
      </w:r>
      <w:r>
        <w:rPr>
          <w:rFonts w:ascii="Times New Roman" w:hAnsi="Times New Roman" w:cs="Times New Roman"/>
          <w:sz w:val="20"/>
          <w:szCs w:val="20"/>
        </w:rPr>
        <w:t xml:space="preserve"> For eMBB, the impact on the simulation results are mainly for shorter blocks less than 600 info block. For larger blocks, a significant variation may not be there.  </w:t>
      </w:r>
    </w:p>
    <w:p w14:paraId="58C6BB7C" w14:textId="77777777" w:rsidR="00430C5B" w:rsidRDefault="00430C5B" w:rsidP="00430C5B">
      <w:pPr>
        <w:jc w:val="both"/>
        <w:rPr>
          <w:rFonts w:ascii="Times New Roman" w:hAnsi="Times New Roman" w:cs="Times New Roman"/>
          <w:sz w:val="20"/>
          <w:szCs w:val="20"/>
        </w:rPr>
      </w:pPr>
      <w:r w:rsidRPr="00834881">
        <w:rPr>
          <w:rFonts w:ascii="Times New Roman" w:hAnsi="Times New Roman" w:cs="Times New Roman"/>
          <w:b/>
          <w:sz w:val="20"/>
          <w:szCs w:val="20"/>
        </w:rPr>
        <w:t xml:space="preserve">Observation 3: </w:t>
      </w:r>
      <w:r>
        <w:rPr>
          <w:rFonts w:ascii="Times New Roman" w:hAnsi="Times New Roman" w:cs="Times New Roman"/>
          <w:sz w:val="20"/>
          <w:szCs w:val="20"/>
        </w:rPr>
        <w:t>When BLER operating point is at 1%, the FAR of the LDPC parity check is in the range of ~10</w:t>
      </w:r>
      <w:r w:rsidRPr="00834881">
        <w:rPr>
          <w:rFonts w:ascii="Times New Roman" w:hAnsi="Times New Roman" w:cs="Times New Roman"/>
          <w:sz w:val="20"/>
          <w:szCs w:val="20"/>
          <w:vertAlign w:val="superscript"/>
        </w:rPr>
        <w:t>-2</w:t>
      </w:r>
      <w:r>
        <w:rPr>
          <w:rFonts w:ascii="Times New Roman" w:hAnsi="Times New Roman" w:cs="Times New Roman"/>
          <w:sz w:val="20"/>
          <w:szCs w:val="20"/>
        </w:rPr>
        <w:t xml:space="preserve">. False alarm rate is increasing with the SNR. We expect higher FAR when target BLER is set to 0.01%. </w:t>
      </w:r>
    </w:p>
    <w:p w14:paraId="5B135891" w14:textId="77777777" w:rsidR="00430C5B" w:rsidRDefault="00430C5B" w:rsidP="00430C5B">
      <w:pPr>
        <w:jc w:val="both"/>
        <w:rPr>
          <w:rFonts w:ascii="Times New Roman" w:hAnsi="Times New Roman" w:cs="Times New Roman"/>
          <w:sz w:val="20"/>
          <w:szCs w:val="20"/>
        </w:rPr>
      </w:pPr>
      <w:r w:rsidRPr="00834881">
        <w:rPr>
          <w:rFonts w:ascii="Times New Roman" w:hAnsi="Times New Roman" w:cs="Times New Roman"/>
          <w:b/>
          <w:sz w:val="20"/>
          <w:szCs w:val="20"/>
        </w:rPr>
        <w:t>Proposal 3:</w:t>
      </w:r>
      <w:r>
        <w:rPr>
          <w:rFonts w:ascii="Times New Roman" w:hAnsi="Times New Roman" w:cs="Times New Roman"/>
          <w:sz w:val="20"/>
          <w:szCs w:val="20"/>
        </w:rPr>
        <w:t xml:space="preserve"> For the cases, where 1% BLER is sufficient, CRC bits to guarantee 16 bit CRC FAR is equal to 8-10 CRC bits. To guarantee 0.01% BLER requirements, the required CRC bits for LDPC can be varied 10-12 bits. </w:t>
      </w:r>
    </w:p>
    <w:p w14:paraId="10398852" w14:textId="77777777" w:rsidR="00430C5B" w:rsidRPr="0035013E" w:rsidRDefault="00430C5B" w:rsidP="00430C5B">
      <w:pPr>
        <w:jc w:val="both"/>
        <w:rPr>
          <w:rFonts w:ascii="Times New Roman" w:hAnsi="Times New Roman" w:cs="Times New Roman"/>
          <w:sz w:val="20"/>
          <w:szCs w:val="20"/>
        </w:rPr>
      </w:pPr>
      <w:r w:rsidRPr="00834881">
        <w:rPr>
          <w:rFonts w:ascii="Times New Roman" w:hAnsi="Times New Roman" w:cs="Times New Roman"/>
          <w:b/>
          <w:sz w:val="20"/>
          <w:szCs w:val="20"/>
        </w:rPr>
        <w:t>Proposal 4:</w:t>
      </w:r>
      <w:r>
        <w:rPr>
          <w:rFonts w:ascii="Times New Roman" w:hAnsi="Times New Roman" w:cs="Times New Roman"/>
          <w:sz w:val="20"/>
          <w:szCs w:val="20"/>
        </w:rPr>
        <w:t xml:space="preserve"> For the cases, where 1% BLER is sufficient, CRC bits to guarantee 24 bit CRC FAR is equal to 16-18 CRC bits. To guarantee 0.01% BLER requirements, the required CRC bits for LDPC can be varied 18-20 bits. </w:t>
      </w:r>
    </w:p>
    <w:p w14:paraId="6501B400" w14:textId="77777777" w:rsidR="009058A0" w:rsidRPr="003F3B54" w:rsidRDefault="009058A0" w:rsidP="009058A0">
      <w:pPr>
        <w:pStyle w:val="Heading1"/>
        <w:rPr>
          <w:lang w:eastAsia="zh-CN"/>
        </w:rPr>
      </w:pPr>
      <w:r w:rsidRPr="003F3B54">
        <w:rPr>
          <w:lang w:eastAsia="zh-CN"/>
        </w:rPr>
        <w:lastRenderedPageBreak/>
        <w:t>References</w:t>
      </w:r>
    </w:p>
    <w:p w14:paraId="78C88088" w14:textId="4AE285EC" w:rsidR="00CB2150" w:rsidRPr="00005FA5" w:rsidRDefault="00005FA5" w:rsidP="00CB2150">
      <w:pPr>
        <w:numPr>
          <w:ilvl w:val="0"/>
          <w:numId w:val="1"/>
        </w:numPr>
        <w:spacing w:after="120"/>
        <w:jc w:val="both"/>
        <w:rPr>
          <w:rFonts w:ascii="Times New Roman" w:hAnsi="Times New Roman" w:cs="Times New Roman"/>
          <w:sz w:val="20"/>
          <w:szCs w:val="20"/>
        </w:rPr>
      </w:pPr>
      <w:r w:rsidRPr="00005FA5">
        <w:rPr>
          <w:rFonts w:ascii="Times New Roman" w:hAnsi="Times New Roman" w:cs="Times New Roman"/>
          <w:sz w:val="20"/>
          <w:szCs w:val="20"/>
          <w:lang w:val="en-US"/>
        </w:rPr>
        <w:t>R1-1609583</w:t>
      </w:r>
      <w:r w:rsidRPr="00005FA5">
        <w:rPr>
          <w:rFonts w:ascii="Times New Roman" w:hAnsi="Times New Roman" w:cs="Times New Roman"/>
          <w:sz w:val="20"/>
          <w:szCs w:val="20"/>
        </w:rPr>
        <w:t xml:space="preserve"> </w:t>
      </w:r>
      <w:r w:rsidR="00CB2150" w:rsidRPr="00005FA5">
        <w:rPr>
          <w:rFonts w:ascii="Times New Roman" w:hAnsi="Times New Roman" w:cs="Times New Roman"/>
          <w:sz w:val="20"/>
          <w:szCs w:val="20"/>
        </w:rPr>
        <w:t>“</w:t>
      </w:r>
      <w:r w:rsidRPr="00005FA5">
        <w:rPr>
          <w:rFonts w:ascii="Times New Roman" w:hAnsi="Times New Roman" w:cs="Times New Roman"/>
          <w:sz w:val="20"/>
          <w:szCs w:val="20"/>
          <w:lang w:val="en-US"/>
        </w:rPr>
        <w:t>Update on eMBB coding performance</w:t>
      </w:r>
      <w:r w:rsidR="00CB2150" w:rsidRPr="00005FA5">
        <w:rPr>
          <w:rFonts w:ascii="Times New Roman" w:hAnsi="Times New Roman" w:cs="Times New Roman"/>
          <w:sz w:val="20"/>
          <w:szCs w:val="20"/>
        </w:rPr>
        <w:t xml:space="preserve">” </w:t>
      </w:r>
      <w:r w:rsidR="003C1092" w:rsidRPr="00005FA5">
        <w:rPr>
          <w:rFonts w:ascii="Times New Roman" w:hAnsi="Times New Roman" w:cs="Times New Roman"/>
          <w:sz w:val="20"/>
          <w:szCs w:val="20"/>
        </w:rPr>
        <w:t xml:space="preserve">, </w:t>
      </w:r>
      <w:r w:rsidR="00CB2150" w:rsidRPr="00005FA5">
        <w:rPr>
          <w:rFonts w:ascii="Times New Roman" w:hAnsi="Times New Roman" w:cs="Times New Roman"/>
          <w:sz w:val="20"/>
          <w:szCs w:val="20"/>
        </w:rPr>
        <w:t>Nokia, Alcatel-Lucent Shanghai Bell</w:t>
      </w:r>
    </w:p>
    <w:p w14:paraId="2CE7B94B" w14:textId="4D0BBD66" w:rsidR="00346FDF" w:rsidRPr="00005FA5" w:rsidRDefault="00005FA5" w:rsidP="0053741D">
      <w:pPr>
        <w:pStyle w:val="ListParagraph"/>
        <w:numPr>
          <w:ilvl w:val="0"/>
          <w:numId w:val="1"/>
        </w:numPr>
        <w:spacing w:after="120"/>
        <w:jc w:val="both"/>
        <w:rPr>
          <w:rFonts w:ascii="Times New Roman" w:hAnsi="Times New Roman" w:cs="Times New Roman"/>
          <w:sz w:val="20"/>
          <w:szCs w:val="20"/>
        </w:rPr>
      </w:pPr>
      <w:r w:rsidRPr="00005FA5">
        <w:rPr>
          <w:rFonts w:ascii="Times New Roman" w:hAnsi="Times New Roman" w:cs="Times New Roman"/>
          <w:sz w:val="20"/>
          <w:szCs w:val="20"/>
          <w:lang w:val="en-US"/>
        </w:rPr>
        <w:t>R1-1609594</w:t>
      </w:r>
      <w:r w:rsidRPr="00005FA5">
        <w:rPr>
          <w:rFonts w:ascii="Times New Roman" w:hAnsi="Times New Roman" w:cs="Times New Roman"/>
          <w:sz w:val="20"/>
          <w:szCs w:val="20"/>
        </w:rPr>
        <w:t xml:space="preserve"> </w:t>
      </w:r>
      <w:r w:rsidR="003C1092" w:rsidRPr="00005FA5">
        <w:rPr>
          <w:rFonts w:ascii="Times New Roman" w:hAnsi="Times New Roman" w:cs="Times New Roman"/>
          <w:sz w:val="20"/>
          <w:szCs w:val="20"/>
        </w:rPr>
        <w:t>“</w:t>
      </w:r>
      <w:r w:rsidRPr="00005FA5">
        <w:rPr>
          <w:rFonts w:ascii="Times New Roman" w:hAnsi="Times New Roman" w:cs="Times New Roman"/>
          <w:sz w:val="20"/>
          <w:szCs w:val="20"/>
          <w:lang w:val="en-US"/>
        </w:rPr>
        <w:t>Performance of mMTC and URLLC channel coding candidates</w:t>
      </w:r>
      <w:r w:rsidR="003C1092" w:rsidRPr="00005FA5">
        <w:rPr>
          <w:rFonts w:ascii="Times New Roman" w:hAnsi="Times New Roman" w:cs="Times New Roman"/>
          <w:sz w:val="20"/>
          <w:szCs w:val="20"/>
        </w:rPr>
        <w:t>”, Nokia, Alcatel-Lucent Shanghai Bell</w:t>
      </w:r>
    </w:p>
    <w:p w14:paraId="36C27EFF" w14:textId="77777777" w:rsidR="007469EE" w:rsidRDefault="007469EE" w:rsidP="007469EE">
      <w:pPr>
        <w:pStyle w:val="ListParagraph"/>
        <w:spacing w:after="120"/>
        <w:ind w:left="360"/>
        <w:jc w:val="both"/>
        <w:rPr>
          <w:rFonts w:ascii="Times New Roman" w:hAnsi="Times New Roman" w:cs="Times New Roman"/>
          <w:sz w:val="20"/>
          <w:szCs w:val="20"/>
        </w:rPr>
      </w:pPr>
    </w:p>
    <w:p w14:paraId="10AC276D" w14:textId="77777777" w:rsidR="00405A61" w:rsidRDefault="00405A61" w:rsidP="007469EE">
      <w:pPr>
        <w:pStyle w:val="ListParagraph"/>
        <w:spacing w:after="120"/>
        <w:ind w:left="360"/>
        <w:jc w:val="both"/>
        <w:rPr>
          <w:rFonts w:ascii="Times New Roman" w:hAnsi="Times New Roman" w:cs="Times New Roman"/>
          <w:sz w:val="20"/>
          <w:szCs w:val="20"/>
        </w:rPr>
      </w:pPr>
    </w:p>
    <w:p w14:paraId="37714CBA" w14:textId="77777777" w:rsidR="00405A61" w:rsidRDefault="00405A61" w:rsidP="007469EE">
      <w:pPr>
        <w:pStyle w:val="ListParagraph"/>
        <w:spacing w:after="120"/>
        <w:ind w:left="360"/>
        <w:jc w:val="both"/>
        <w:rPr>
          <w:rFonts w:ascii="Times New Roman" w:hAnsi="Times New Roman" w:cs="Times New Roman"/>
          <w:sz w:val="20"/>
          <w:szCs w:val="20"/>
        </w:rPr>
      </w:pPr>
    </w:p>
    <w:sectPr w:rsidR="00405A61"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10807B" w14:textId="77777777" w:rsidR="00641374" w:rsidRDefault="00641374">
      <w:r>
        <w:separator/>
      </w:r>
    </w:p>
  </w:endnote>
  <w:endnote w:type="continuationSeparator" w:id="0">
    <w:p w14:paraId="18670A9F" w14:textId="77777777" w:rsidR="00641374" w:rsidRDefault="00641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3B19B1" w14:textId="77777777" w:rsidR="00641374" w:rsidRDefault="00641374">
      <w:r>
        <w:separator/>
      </w:r>
    </w:p>
  </w:footnote>
  <w:footnote w:type="continuationSeparator" w:id="0">
    <w:p w14:paraId="0452A02A" w14:textId="77777777" w:rsidR="00641374" w:rsidRDefault="006413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E184A"/>
    <w:multiLevelType w:val="hybridMultilevel"/>
    <w:tmpl w:val="206079D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 w15:restartNumberingAfterBreak="0">
    <w:nsid w:val="03795ECA"/>
    <w:multiLevelType w:val="hybridMultilevel"/>
    <w:tmpl w:val="46300B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581F0D"/>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75B4E95"/>
    <w:multiLevelType w:val="hybridMultilevel"/>
    <w:tmpl w:val="2B98DF7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9CE67A0"/>
    <w:multiLevelType w:val="hybridMultilevel"/>
    <w:tmpl w:val="A6A6B24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0E8B1BA5"/>
    <w:multiLevelType w:val="hybridMultilevel"/>
    <w:tmpl w:val="7AF8D9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031EA3"/>
    <w:multiLevelType w:val="hybridMultilevel"/>
    <w:tmpl w:val="E7EA99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D0A3A88"/>
    <w:multiLevelType w:val="hybridMultilevel"/>
    <w:tmpl w:val="A6A6B24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430D24"/>
    <w:multiLevelType w:val="hybridMultilevel"/>
    <w:tmpl w:val="A6A6B24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2AE3142B"/>
    <w:multiLevelType w:val="hybridMultilevel"/>
    <w:tmpl w:val="144298A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2F550F6A"/>
    <w:multiLevelType w:val="hybridMultilevel"/>
    <w:tmpl w:val="CCC63D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002024C"/>
    <w:multiLevelType w:val="hybridMultilevel"/>
    <w:tmpl w:val="949EE2EA"/>
    <w:lvl w:ilvl="0" w:tplc="ABFA179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2063A3C"/>
    <w:multiLevelType w:val="hybridMultilevel"/>
    <w:tmpl w:val="7F24E51A"/>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358C7AC0"/>
    <w:multiLevelType w:val="hybridMultilevel"/>
    <w:tmpl w:val="644EA5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71306FC"/>
    <w:multiLevelType w:val="hybridMultilevel"/>
    <w:tmpl w:val="63BA753C"/>
    <w:lvl w:ilvl="0" w:tplc="E604C040">
      <w:start w:val="1"/>
      <w:numFmt w:val="bullet"/>
      <w:lvlText w:val="–"/>
      <w:lvlJc w:val="left"/>
      <w:pPr>
        <w:tabs>
          <w:tab w:val="num" w:pos="360"/>
        </w:tabs>
        <w:ind w:left="360" w:hanging="360"/>
      </w:pPr>
      <w:rPr>
        <w:rFonts w:ascii="Calibri" w:hAnsi="Calibri" w:hint="default"/>
      </w:rPr>
    </w:lvl>
    <w:lvl w:ilvl="1" w:tplc="E842C748">
      <w:start w:val="1"/>
      <w:numFmt w:val="bullet"/>
      <w:lvlText w:val="–"/>
      <w:lvlJc w:val="left"/>
      <w:pPr>
        <w:tabs>
          <w:tab w:val="num" w:pos="1080"/>
        </w:tabs>
        <w:ind w:left="1080" w:hanging="360"/>
      </w:pPr>
      <w:rPr>
        <w:rFonts w:ascii="Calibri" w:hAnsi="Calibri" w:hint="default"/>
      </w:rPr>
    </w:lvl>
    <w:lvl w:ilvl="2" w:tplc="B70498D6">
      <w:start w:val="1285"/>
      <w:numFmt w:val="bullet"/>
      <w:lvlText w:val="•"/>
      <w:lvlJc w:val="left"/>
      <w:pPr>
        <w:tabs>
          <w:tab w:val="num" w:pos="1800"/>
        </w:tabs>
        <w:ind w:left="1800" w:hanging="360"/>
      </w:pPr>
      <w:rPr>
        <w:rFonts w:ascii="Arial" w:hAnsi="Arial" w:hint="default"/>
      </w:rPr>
    </w:lvl>
    <w:lvl w:ilvl="3" w:tplc="B56C779C" w:tentative="1">
      <w:start w:val="1"/>
      <w:numFmt w:val="bullet"/>
      <w:lvlText w:val="–"/>
      <w:lvlJc w:val="left"/>
      <w:pPr>
        <w:tabs>
          <w:tab w:val="num" w:pos="2520"/>
        </w:tabs>
        <w:ind w:left="2520" w:hanging="360"/>
      </w:pPr>
      <w:rPr>
        <w:rFonts w:ascii="Calibri" w:hAnsi="Calibri" w:hint="default"/>
      </w:rPr>
    </w:lvl>
    <w:lvl w:ilvl="4" w:tplc="2AA8EEB4" w:tentative="1">
      <w:start w:val="1"/>
      <w:numFmt w:val="bullet"/>
      <w:lvlText w:val="–"/>
      <w:lvlJc w:val="left"/>
      <w:pPr>
        <w:tabs>
          <w:tab w:val="num" w:pos="3240"/>
        </w:tabs>
        <w:ind w:left="3240" w:hanging="360"/>
      </w:pPr>
      <w:rPr>
        <w:rFonts w:ascii="Calibri" w:hAnsi="Calibri" w:hint="default"/>
      </w:rPr>
    </w:lvl>
    <w:lvl w:ilvl="5" w:tplc="09ECEE5E" w:tentative="1">
      <w:start w:val="1"/>
      <w:numFmt w:val="bullet"/>
      <w:lvlText w:val="–"/>
      <w:lvlJc w:val="left"/>
      <w:pPr>
        <w:tabs>
          <w:tab w:val="num" w:pos="3960"/>
        </w:tabs>
        <w:ind w:left="3960" w:hanging="360"/>
      </w:pPr>
      <w:rPr>
        <w:rFonts w:ascii="Calibri" w:hAnsi="Calibri" w:hint="default"/>
      </w:rPr>
    </w:lvl>
    <w:lvl w:ilvl="6" w:tplc="1EFE73FC" w:tentative="1">
      <w:start w:val="1"/>
      <w:numFmt w:val="bullet"/>
      <w:lvlText w:val="–"/>
      <w:lvlJc w:val="left"/>
      <w:pPr>
        <w:tabs>
          <w:tab w:val="num" w:pos="4680"/>
        </w:tabs>
        <w:ind w:left="4680" w:hanging="360"/>
      </w:pPr>
      <w:rPr>
        <w:rFonts w:ascii="Calibri" w:hAnsi="Calibri" w:hint="default"/>
      </w:rPr>
    </w:lvl>
    <w:lvl w:ilvl="7" w:tplc="EDA43930" w:tentative="1">
      <w:start w:val="1"/>
      <w:numFmt w:val="bullet"/>
      <w:lvlText w:val="–"/>
      <w:lvlJc w:val="left"/>
      <w:pPr>
        <w:tabs>
          <w:tab w:val="num" w:pos="5400"/>
        </w:tabs>
        <w:ind w:left="5400" w:hanging="360"/>
      </w:pPr>
      <w:rPr>
        <w:rFonts w:ascii="Calibri" w:hAnsi="Calibri" w:hint="default"/>
      </w:rPr>
    </w:lvl>
    <w:lvl w:ilvl="8" w:tplc="326256B6" w:tentative="1">
      <w:start w:val="1"/>
      <w:numFmt w:val="bullet"/>
      <w:lvlText w:val="–"/>
      <w:lvlJc w:val="left"/>
      <w:pPr>
        <w:tabs>
          <w:tab w:val="num" w:pos="6120"/>
        </w:tabs>
        <w:ind w:left="6120" w:hanging="360"/>
      </w:pPr>
      <w:rPr>
        <w:rFonts w:ascii="Calibri" w:hAnsi="Calibri" w:hint="default"/>
      </w:rPr>
    </w:lvl>
  </w:abstractNum>
  <w:abstractNum w:abstractNumId="18"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19" w15:restartNumberingAfterBreak="0">
    <w:nsid w:val="3D343832"/>
    <w:multiLevelType w:val="hybridMultilevel"/>
    <w:tmpl w:val="6E0AD8A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2664DE"/>
    <w:multiLevelType w:val="hybridMultilevel"/>
    <w:tmpl w:val="0212A4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FED25FA"/>
    <w:multiLevelType w:val="hybridMultilevel"/>
    <w:tmpl w:val="48707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0746679"/>
    <w:multiLevelType w:val="hybridMultilevel"/>
    <w:tmpl w:val="14846E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939593A"/>
    <w:multiLevelType w:val="hybridMultilevel"/>
    <w:tmpl w:val="9A66A01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58AC7CDB"/>
    <w:multiLevelType w:val="multilevel"/>
    <w:tmpl w:val="F5485350"/>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2"/>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B2144EB"/>
    <w:multiLevelType w:val="hybridMultilevel"/>
    <w:tmpl w:val="7548E8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FBB587A"/>
    <w:multiLevelType w:val="hybridMultilevel"/>
    <w:tmpl w:val="C436EFE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64B7083C"/>
    <w:multiLevelType w:val="hybridMultilevel"/>
    <w:tmpl w:val="3BC6959E"/>
    <w:lvl w:ilvl="0" w:tplc="3EC43EF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1E3CCD"/>
    <w:multiLevelType w:val="hybridMultilevel"/>
    <w:tmpl w:val="D16CA2B0"/>
    <w:lvl w:ilvl="0" w:tplc="BF7C6B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CD5388"/>
    <w:multiLevelType w:val="hybridMultilevel"/>
    <w:tmpl w:val="1D2EB1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D503FA4">
      <w:numFmt w:val="bullet"/>
      <w:lvlText w:val="•"/>
      <w:lvlJc w:val="left"/>
      <w:pPr>
        <w:ind w:left="2265" w:hanging="465"/>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1B623B"/>
    <w:multiLevelType w:val="hybridMultilevel"/>
    <w:tmpl w:val="5D48EC3A"/>
    <w:lvl w:ilvl="0" w:tplc="873C6A02">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752B542A"/>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75F2298C"/>
    <w:multiLevelType w:val="hybridMultilevel"/>
    <w:tmpl w:val="4D32CF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10"/>
  </w:num>
  <w:num w:numId="3">
    <w:abstractNumId w:val="20"/>
  </w:num>
  <w:num w:numId="4">
    <w:abstractNumId w:val="30"/>
  </w:num>
  <w:num w:numId="5">
    <w:abstractNumId w:val="37"/>
  </w:num>
  <w:num w:numId="6">
    <w:abstractNumId w:val="26"/>
  </w:num>
  <w:num w:numId="7">
    <w:abstractNumId w:val="9"/>
  </w:num>
  <w:num w:numId="8">
    <w:abstractNumId w:val="29"/>
  </w:num>
  <w:num w:numId="9">
    <w:abstractNumId w:val="24"/>
  </w:num>
  <w:num w:numId="10">
    <w:abstractNumId w:val="4"/>
  </w:num>
  <w:num w:numId="11">
    <w:abstractNumId w:val="19"/>
  </w:num>
  <w:num w:numId="12">
    <w:abstractNumId w:val="0"/>
  </w:num>
  <w:num w:numId="13">
    <w:abstractNumId w:val="36"/>
  </w:num>
  <w:num w:numId="14">
    <w:abstractNumId w:val="12"/>
  </w:num>
  <w:num w:numId="15">
    <w:abstractNumId w:val="23"/>
  </w:num>
  <w:num w:numId="16">
    <w:abstractNumId w:val="7"/>
  </w:num>
  <w:num w:numId="17">
    <w:abstractNumId w:val="13"/>
  </w:num>
  <w:num w:numId="18">
    <w:abstractNumId w:val="28"/>
  </w:num>
  <w:num w:numId="19">
    <w:abstractNumId w:val="27"/>
  </w:num>
  <w:num w:numId="20">
    <w:abstractNumId w:val="17"/>
  </w:num>
  <w:num w:numId="21">
    <w:abstractNumId w:val="35"/>
  </w:num>
  <w:num w:numId="22">
    <w:abstractNumId w:val="21"/>
  </w:num>
  <w:num w:numId="23">
    <w:abstractNumId w:val="32"/>
  </w:num>
  <w:num w:numId="24">
    <w:abstractNumId w:val="18"/>
    <w:lvlOverride w:ilvl="0">
      <w:startOverride w:val="1"/>
    </w:lvlOverride>
  </w:num>
  <w:num w:numId="25">
    <w:abstractNumId w:val="34"/>
  </w:num>
  <w:num w:numId="26">
    <w:abstractNumId w:val="3"/>
  </w:num>
  <w:num w:numId="27">
    <w:abstractNumId w:val="16"/>
  </w:num>
  <w:num w:numId="28">
    <w:abstractNumId w:val="15"/>
  </w:num>
  <w:num w:numId="29">
    <w:abstractNumId w:val="25"/>
  </w:num>
  <w:num w:numId="30">
    <w:abstractNumId w:val="8"/>
  </w:num>
  <w:num w:numId="31">
    <w:abstractNumId w:val="33"/>
  </w:num>
  <w:num w:numId="32">
    <w:abstractNumId w:val="1"/>
  </w:num>
  <w:num w:numId="33">
    <w:abstractNumId w:val="6"/>
  </w:num>
  <w:num w:numId="34">
    <w:abstractNumId w:val="11"/>
  </w:num>
  <w:num w:numId="35">
    <w:abstractNumId w:val="5"/>
  </w:num>
  <w:num w:numId="36">
    <w:abstractNumId w:val="14"/>
  </w:num>
  <w:num w:numId="37">
    <w:abstractNumId w:val="22"/>
  </w:num>
  <w:num w:numId="38">
    <w:abstractNumId w:val="3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bordersDoNotSurroundHeader/>
  <w:bordersDoNotSurroundFooter/>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DEC"/>
    <w:rsid w:val="000032D6"/>
    <w:rsid w:val="000033ED"/>
    <w:rsid w:val="00003811"/>
    <w:rsid w:val="00003F15"/>
    <w:rsid w:val="00005FA5"/>
    <w:rsid w:val="00006BB1"/>
    <w:rsid w:val="00006DE9"/>
    <w:rsid w:val="000074C4"/>
    <w:rsid w:val="00007564"/>
    <w:rsid w:val="00007598"/>
    <w:rsid w:val="00007927"/>
    <w:rsid w:val="000109A5"/>
    <w:rsid w:val="00011360"/>
    <w:rsid w:val="0001170C"/>
    <w:rsid w:val="00011766"/>
    <w:rsid w:val="00011C5F"/>
    <w:rsid w:val="0001245C"/>
    <w:rsid w:val="0001252E"/>
    <w:rsid w:val="000144F8"/>
    <w:rsid w:val="00014945"/>
    <w:rsid w:val="00014A49"/>
    <w:rsid w:val="0001541B"/>
    <w:rsid w:val="0001622B"/>
    <w:rsid w:val="0001644E"/>
    <w:rsid w:val="000172CA"/>
    <w:rsid w:val="00017EDA"/>
    <w:rsid w:val="0002118F"/>
    <w:rsid w:val="00021990"/>
    <w:rsid w:val="00021C9B"/>
    <w:rsid w:val="00021ECE"/>
    <w:rsid w:val="00022790"/>
    <w:rsid w:val="00022C9F"/>
    <w:rsid w:val="000234F0"/>
    <w:rsid w:val="00024DC6"/>
    <w:rsid w:val="0002562D"/>
    <w:rsid w:val="00025B5C"/>
    <w:rsid w:val="00025D50"/>
    <w:rsid w:val="00026794"/>
    <w:rsid w:val="000269F3"/>
    <w:rsid w:val="0002766A"/>
    <w:rsid w:val="00027BB9"/>
    <w:rsid w:val="00027BCE"/>
    <w:rsid w:val="00027CAF"/>
    <w:rsid w:val="00027F0D"/>
    <w:rsid w:val="000304CE"/>
    <w:rsid w:val="00030C43"/>
    <w:rsid w:val="00031425"/>
    <w:rsid w:val="00031C8B"/>
    <w:rsid w:val="00032523"/>
    <w:rsid w:val="000332E5"/>
    <w:rsid w:val="0003396B"/>
    <w:rsid w:val="0003525C"/>
    <w:rsid w:val="00036747"/>
    <w:rsid w:val="000374FD"/>
    <w:rsid w:val="000403A2"/>
    <w:rsid w:val="00040C6B"/>
    <w:rsid w:val="00041E94"/>
    <w:rsid w:val="000427FB"/>
    <w:rsid w:val="000438B8"/>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1E"/>
    <w:rsid w:val="00067B22"/>
    <w:rsid w:val="00067FE8"/>
    <w:rsid w:val="00070806"/>
    <w:rsid w:val="0007159C"/>
    <w:rsid w:val="0007278B"/>
    <w:rsid w:val="00072FD4"/>
    <w:rsid w:val="00072FFC"/>
    <w:rsid w:val="00074659"/>
    <w:rsid w:val="00074AE4"/>
    <w:rsid w:val="0007526D"/>
    <w:rsid w:val="000755B4"/>
    <w:rsid w:val="00075E55"/>
    <w:rsid w:val="0007612E"/>
    <w:rsid w:val="00076DB1"/>
    <w:rsid w:val="00077349"/>
    <w:rsid w:val="00081E47"/>
    <w:rsid w:val="0008226B"/>
    <w:rsid w:val="0008247E"/>
    <w:rsid w:val="00082C56"/>
    <w:rsid w:val="00082CDA"/>
    <w:rsid w:val="000846E5"/>
    <w:rsid w:val="00085115"/>
    <w:rsid w:val="00085169"/>
    <w:rsid w:val="0008591B"/>
    <w:rsid w:val="00086D08"/>
    <w:rsid w:val="00086DBF"/>
    <w:rsid w:val="00087087"/>
    <w:rsid w:val="00087107"/>
    <w:rsid w:val="00087647"/>
    <w:rsid w:val="000876BD"/>
    <w:rsid w:val="00087C0A"/>
    <w:rsid w:val="00087E56"/>
    <w:rsid w:val="00090587"/>
    <w:rsid w:val="00090944"/>
    <w:rsid w:val="00090DBB"/>
    <w:rsid w:val="00090E25"/>
    <w:rsid w:val="00090E56"/>
    <w:rsid w:val="00090EBC"/>
    <w:rsid w:val="00091314"/>
    <w:rsid w:val="00091AF1"/>
    <w:rsid w:val="000932E8"/>
    <w:rsid w:val="000933D6"/>
    <w:rsid w:val="00093520"/>
    <w:rsid w:val="00093F86"/>
    <w:rsid w:val="0009401C"/>
    <w:rsid w:val="000945F8"/>
    <w:rsid w:val="00094A5A"/>
    <w:rsid w:val="00095DEB"/>
    <w:rsid w:val="000962CD"/>
    <w:rsid w:val="00097058"/>
    <w:rsid w:val="00097924"/>
    <w:rsid w:val="00097F98"/>
    <w:rsid w:val="000A1175"/>
    <w:rsid w:val="000A20BA"/>
    <w:rsid w:val="000A2249"/>
    <w:rsid w:val="000A2D56"/>
    <w:rsid w:val="000A356B"/>
    <w:rsid w:val="000A3D29"/>
    <w:rsid w:val="000A46A6"/>
    <w:rsid w:val="000A47E2"/>
    <w:rsid w:val="000A4945"/>
    <w:rsid w:val="000A4B03"/>
    <w:rsid w:val="000A4D7C"/>
    <w:rsid w:val="000A5721"/>
    <w:rsid w:val="000A5A08"/>
    <w:rsid w:val="000A609E"/>
    <w:rsid w:val="000A6611"/>
    <w:rsid w:val="000A6A09"/>
    <w:rsid w:val="000A6CC2"/>
    <w:rsid w:val="000A6CEE"/>
    <w:rsid w:val="000A7BE0"/>
    <w:rsid w:val="000A7F9F"/>
    <w:rsid w:val="000B0141"/>
    <w:rsid w:val="000B0884"/>
    <w:rsid w:val="000B0FC4"/>
    <w:rsid w:val="000B13C6"/>
    <w:rsid w:val="000B1B3D"/>
    <w:rsid w:val="000B2FF4"/>
    <w:rsid w:val="000B3798"/>
    <w:rsid w:val="000B3F94"/>
    <w:rsid w:val="000B47DA"/>
    <w:rsid w:val="000B5875"/>
    <w:rsid w:val="000B64B0"/>
    <w:rsid w:val="000B64B9"/>
    <w:rsid w:val="000B6692"/>
    <w:rsid w:val="000B6A1C"/>
    <w:rsid w:val="000B766E"/>
    <w:rsid w:val="000B7B3D"/>
    <w:rsid w:val="000B7B63"/>
    <w:rsid w:val="000C0167"/>
    <w:rsid w:val="000C0E65"/>
    <w:rsid w:val="000C27AA"/>
    <w:rsid w:val="000C2F64"/>
    <w:rsid w:val="000C3434"/>
    <w:rsid w:val="000C3DCB"/>
    <w:rsid w:val="000C4399"/>
    <w:rsid w:val="000C43A0"/>
    <w:rsid w:val="000C4545"/>
    <w:rsid w:val="000C4DC4"/>
    <w:rsid w:val="000C5FEE"/>
    <w:rsid w:val="000C6AB5"/>
    <w:rsid w:val="000C7659"/>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72FB"/>
    <w:rsid w:val="000E7633"/>
    <w:rsid w:val="000E7D56"/>
    <w:rsid w:val="000F0B4B"/>
    <w:rsid w:val="000F0E8D"/>
    <w:rsid w:val="000F1095"/>
    <w:rsid w:val="000F19D4"/>
    <w:rsid w:val="000F2D63"/>
    <w:rsid w:val="000F3098"/>
    <w:rsid w:val="000F328B"/>
    <w:rsid w:val="000F3876"/>
    <w:rsid w:val="000F391E"/>
    <w:rsid w:val="000F41B3"/>
    <w:rsid w:val="000F51DA"/>
    <w:rsid w:val="000F7613"/>
    <w:rsid w:val="0010045B"/>
    <w:rsid w:val="001008E4"/>
    <w:rsid w:val="00100E7C"/>
    <w:rsid w:val="001012CA"/>
    <w:rsid w:val="00101381"/>
    <w:rsid w:val="001020FB"/>
    <w:rsid w:val="00103417"/>
    <w:rsid w:val="001036A3"/>
    <w:rsid w:val="001036A5"/>
    <w:rsid w:val="001036C1"/>
    <w:rsid w:val="0010375D"/>
    <w:rsid w:val="0010378C"/>
    <w:rsid w:val="001044AC"/>
    <w:rsid w:val="00104650"/>
    <w:rsid w:val="00104752"/>
    <w:rsid w:val="00105453"/>
    <w:rsid w:val="00106127"/>
    <w:rsid w:val="0010734E"/>
    <w:rsid w:val="00107665"/>
    <w:rsid w:val="00107971"/>
    <w:rsid w:val="0011035C"/>
    <w:rsid w:val="00110C17"/>
    <w:rsid w:val="00111621"/>
    <w:rsid w:val="00111956"/>
    <w:rsid w:val="001119EE"/>
    <w:rsid w:val="0011303F"/>
    <w:rsid w:val="0011310D"/>
    <w:rsid w:val="001131E2"/>
    <w:rsid w:val="001132FF"/>
    <w:rsid w:val="0011577E"/>
    <w:rsid w:val="00115EB2"/>
    <w:rsid w:val="001175AD"/>
    <w:rsid w:val="00120E81"/>
    <w:rsid w:val="001213C9"/>
    <w:rsid w:val="00121632"/>
    <w:rsid w:val="00121FDC"/>
    <w:rsid w:val="00122B4F"/>
    <w:rsid w:val="001231CA"/>
    <w:rsid w:val="001243CE"/>
    <w:rsid w:val="00125DEF"/>
    <w:rsid w:val="00126F1D"/>
    <w:rsid w:val="0012781D"/>
    <w:rsid w:val="00130BE1"/>
    <w:rsid w:val="001318E7"/>
    <w:rsid w:val="00131F8B"/>
    <w:rsid w:val="00132744"/>
    <w:rsid w:val="00133784"/>
    <w:rsid w:val="00133AC7"/>
    <w:rsid w:val="0013602C"/>
    <w:rsid w:val="001365B7"/>
    <w:rsid w:val="00137143"/>
    <w:rsid w:val="00137B0E"/>
    <w:rsid w:val="00137D78"/>
    <w:rsid w:val="00140456"/>
    <w:rsid w:val="00140807"/>
    <w:rsid w:val="00142A67"/>
    <w:rsid w:val="0014328D"/>
    <w:rsid w:val="001432F2"/>
    <w:rsid w:val="00143809"/>
    <w:rsid w:val="00144D43"/>
    <w:rsid w:val="00144D9D"/>
    <w:rsid w:val="00145C27"/>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27AD"/>
    <w:rsid w:val="00153033"/>
    <w:rsid w:val="001532D8"/>
    <w:rsid w:val="00153463"/>
    <w:rsid w:val="0015387B"/>
    <w:rsid w:val="00153AC8"/>
    <w:rsid w:val="00153D59"/>
    <w:rsid w:val="00153D9C"/>
    <w:rsid w:val="0015441E"/>
    <w:rsid w:val="00156F8B"/>
    <w:rsid w:val="0015709E"/>
    <w:rsid w:val="00157B40"/>
    <w:rsid w:val="001601AE"/>
    <w:rsid w:val="001612C1"/>
    <w:rsid w:val="001616EE"/>
    <w:rsid w:val="00161D23"/>
    <w:rsid w:val="00163261"/>
    <w:rsid w:val="0016398E"/>
    <w:rsid w:val="00163BD0"/>
    <w:rsid w:val="001641F1"/>
    <w:rsid w:val="00164F0F"/>
    <w:rsid w:val="00165033"/>
    <w:rsid w:val="0016567A"/>
    <w:rsid w:val="00165A7E"/>
    <w:rsid w:val="00166703"/>
    <w:rsid w:val="001670EA"/>
    <w:rsid w:val="00167108"/>
    <w:rsid w:val="001674A0"/>
    <w:rsid w:val="001677B6"/>
    <w:rsid w:val="0017004F"/>
    <w:rsid w:val="001707D2"/>
    <w:rsid w:val="00170A4B"/>
    <w:rsid w:val="00170A88"/>
    <w:rsid w:val="00170B3C"/>
    <w:rsid w:val="00172D1A"/>
    <w:rsid w:val="00175DC6"/>
    <w:rsid w:val="001765F6"/>
    <w:rsid w:val="00176D2D"/>
    <w:rsid w:val="001779E5"/>
    <w:rsid w:val="001779F1"/>
    <w:rsid w:val="001802CA"/>
    <w:rsid w:val="0018129E"/>
    <w:rsid w:val="001816EF"/>
    <w:rsid w:val="00181F7A"/>
    <w:rsid w:val="00182253"/>
    <w:rsid w:val="001825C2"/>
    <w:rsid w:val="00182C1B"/>
    <w:rsid w:val="001834F4"/>
    <w:rsid w:val="001839A0"/>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E"/>
    <w:rsid w:val="00197BDF"/>
    <w:rsid w:val="001A09F3"/>
    <w:rsid w:val="001A0C55"/>
    <w:rsid w:val="001A103E"/>
    <w:rsid w:val="001A111A"/>
    <w:rsid w:val="001A11A8"/>
    <w:rsid w:val="001A1940"/>
    <w:rsid w:val="001A30F9"/>
    <w:rsid w:val="001A4160"/>
    <w:rsid w:val="001A4939"/>
    <w:rsid w:val="001A56B1"/>
    <w:rsid w:val="001A58D0"/>
    <w:rsid w:val="001A5D07"/>
    <w:rsid w:val="001A668C"/>
    <w:rsid w:val="001A6A25"/>
    <w:rsid w:val="001A6C9A"/>
    <w:rsid w:val="001A7BF3"/>
    <w:rsid w:val="001A7C85"/>
    <w:rsid w:val="001A7E74"/>
    <w:rsid w:val="001B070D"/>
    <w:rsid w:val="001B191B"/>
    <w:rsid w:val="001B1A64"/>
    <w:rsid w:val="001B383B"/>
    <w:rsid w:val="001B3C14"/>
    <w:rsid w:val="001B48D1"/>
    <w:rsid w:val="001B4BB4"/>
    <w:rsid w:val="001B4DE0"/>
    <w:rsid w:val="001B5269"/>
    <w:rsid w:val="001B547E"/>
    <w:rsid w:val="001B5697"/>
    <w:rsid w:val="001B639E"/>
    <w:rsid w:val="001B6BA0"/>
    <w:rsid w:val="001B75A9"/>
    <w:rsid w:val="001B7D63"/>
    <w:rsid w:val="001C011F"/>
    <w:rsid w:val="001C0134"/>
    <w:rsid w:val="001C15EA"/>
    <w:rsid w:val="001C1721"/>
    <w:rsid w:val="001C1F43"/>
    <w:rsid w:val="001C2794"/>
    <w:rsid w:val="001C2D1E"/>
    <w:rsid w:val="001C313D"/>
    <w:rsid w:val="001C3918"/>
    <w:rsid w:val="001C4522"/>
    <w:rsid w:val="001C46A1"/>
    <w:rsid w:val="001C46E6"/>
    <w:rsid w:val="001C4C61"/>
    <w:rsid w:val="001C4CC0"/>
    <w:rsid w:val="001C5DE3"/>
    <w:rsid w:val="001C6A7D"/>
    <w:rsid w:val="001C71B2"/>
    <w:rsid w:val="001C76C1"/>
    <w:rsid w:val="001C78F9"/>
    <w:rsid w:val="001D0C36"/>
    <w:rsid w:val="001D0CD2"/>
    <w:rsid w:val="001D1312"/>
    <w:rsid w:val="001D17D6"/>
    <w:rsid w:val="001D1C0B"/>
    <w:rsid w:val="001D1D0C"/>
    <w:rsid w:val="001D1F9C"/>
    <w:rsid w:val="001D2338"/>
    <w:rsid w:val="001D2F62"/>
    <w:rsid w:val="001D363B"/>
    <w:rsid w:val="001D3B95"/>
    <w:rsid w:val="001D41AD"/>
    <w:rsid w:val="001D6678"/>
    <w:rsid w:val="001E065E"/>
    <w:rsid w:val="001E2449"/>
    <w:rsid w:val="001E3C32"/>
    <w:rsid w:val="001E4473"/>
    <w:rsid w:val="001E4AD8"/>
    <w:rsid w:val="001E4ADF"/>
    <w:rsid w:val="001E530D"/>
    <w:rsid w:val="001E59C3"/>
    <w:rsid w:val="001E5ED3"/>
    <w:rsid w:val="001E5F13"/>
    <w:rsid w:val="001E71DF"/>
    <w:rsid w:val="001E7260"/>
    <w:rsid w:val="001E7B1B"/>
    <w:rsid w:val="001F02B8"/>
    <w:rsid w:val="001F0BB5"/>
    <w:rsid w:val="001F12BE"/>
    <w:rsid w:val="001F13ED"/>
    <w:rsid w:val="001F1951"/>
    <w:rsid w:val="001F1EC6"/>
    <w:rsid w:val="001F264F"/>
    <w:rsid w:val="001F30EF"/>
    <w:rsid w:val="001F3625"/>
    <w:rsid w:val="001F3FB3"/>
    <w:rsid w:val="001F4259"/>
    <w:rsid w:val="001F4898"/>
    <w:rsid w:val="001F5019"/>
    <w:rsid w:val="001F50D7"/>
    <w:rsid w:val="0020046B"/>
    <w:rsid w:val="0020087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5C9"/>
    <w:rsid w:val="002149AF"/>
    <w:rsid w:val="00214D8F"/>
    <w:rsid w:val="00214F4D"/>
    <w:rsid w:val="002153FC"/>
    <w:rsid w:val="002158C8"/>
    <w:rsid w:val="00215C63"/>
    <w:rsid w:val="00216244"/>
    <w:rsid w:val="002166EA"/>
    <w:rsid w:val="00216A33"/>
    <w:rsid w:val="002170A0"/>
    <w:rsid w:val="00217597"/>
    <w:rsid w:val="00217772"/>
    <w:rsid w:val="00217BF4"/>
    <w:rsid w:val="00217F30"/>
    <w:rsid w:val="00220D22"/>
    <w:rsid w:val="00221167"/>
    <w:rsid w:val="00221506"/>
    <w:rsid w:val="00221B30"/>
    <w:rsid w:val="00221C3A"/>
    <w:rsid w:val="00222903"/>
    <w:rsid w:val="00222A7A"/>
    <w:rsid w:val="00223895"/>
    <w:rsid w:val="00223C05"/>
    <w:rsid w:val="00223E0D"/>
    <w:rsid w:val="0022436C"/>
    <w:rsid w:val="00224A2C"/>
    <w:rsid w:val="00224E2B"/>
    <w:rsid w:val="00225164"/>
    <w:rsid w:val="0022528F"/>
    <w:rsid w:val="00226BF0"/>
    <w:rsid w:val="00227F10"/>
    <w:rsid w:val="00230232"/>
    <w:rsid w:val="0023031F"/>
    <w:rsid w:val="00230375"/>
    <w:rsid w:val="00230459"/>
    <w:rsid w:val="00230CC2"/>
    <w:rsid w:val="002312F4"/>
    <w:rsid w:val="002317B9"/>
    <w:rsid w:val="00231B3C"/>
    <w:rsid w:val="00231FC7"/>
    <w:rsid w:val="00232B2F"/>
    <w:rsid w:val="00232F68"/>
    <w:rsid w:val="0023325B"/>
    <w:rsid w:val="00233325"/>
    <w:rsid w:val="0023440D"/>
    <w:rsid w:val="00234B37"/>
    <w:rsid w:val="00235B2B"/>
    <w:rsid w:val="00235B77"/>
    <w:rsid w:val="0023628A"/>
    <w:rsid w:val="00236760"/>
    <w:rsid w:val="00236A8B"/>
    <w:rsid w:val="00236C20"/>
    <w:rsid w:val="00240A6A"/>
    <w:rsid w:val="00240D03"/>
    <w:rsid w:val="00242553"/>
    <w:rsid w:val="002427D6"/>
    <w:rsid w:val="00243199"/>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230"/>
    <w:rsid w:val="00255534"/>
    <w:rsid w:val="00255DF2"/>
    <w:rsid w:val="00256C14"/>
    <w:rsid w:val="0025735C"/>
    <w:rsid w:val="0025742D"/>
    <w:rsid w:val="002600E1"/>
    <w:rsid w:val="00260C1E"/>
    <w:rsid w:val="002612FE"/>
    <w:rsid w:val="00261AED"/>
    <w:rsid w:val="0026222F"/>
    <w:rsid w:val="00262AB8"/>
    <w:rsid w:val="002634B5"/>
    <w:rsid w:val="002635BC"/>
    <w:rsid w:val="00265D0D"/>
    <w:rsid w:val="00266F6D"/>
    <w:rsid w:val="002678A0"/>
    <w:rsid w:val="00267B6B"/>
    <w:rsid w:val="00270901"/>
    <w:rsid w:val="00270CD2"/>
    <w:rsid w:val="0027114C"/>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FDD"/>
    <w:rsid w:val="002776DB"/>
    <w:rsid w:val="00277E7D"/>
    <w:rsid w:val="00280251"/>
    <w:rsid w:val="00280569"/>
    <w:rsid w:val="00280D28"/>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6E9"/>
    <w:rsid w:val="00286C86"/>
    <w:rsid w:val="00286DAD"/>
    <w:rsid w:val="00286E9E"/>
    <w:rsid w:val="00286FE0"/>
    <w:rsid w:val="00287F64"/>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0FB4"/>
    <w:rsid w:val="002A1126"/>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30B5"/>
    <w:rsid w:val="002B3667"/>
    <w:rsid w:val="002B3A79"/>
    <w:rsid w:val="002B3B62"/>
    <w:rsid w:val="002B4D11"/>
    <w:rsid w:val="002B50EA"/>
    <w:rsid w:val="002B5181"/>
    <w:rsid w:val="002B60E3"/>
    <w:rsid w:val="002B6C25"/>
    <w:rsid w:val="002B7215"/>
    <w:rsid w:val="002B74ED"/>
    <w:rsid w:val="002B7773"/>
    <w:rsid w:val="002B7A8B"/>
    <w:rsid w:val="002C06B7"/>
    <w:rsid w:val="002C139E"/>
    <w:rsid w:val="002C180A"/>
    <w:rsid w:val="002C39FE"/>
    <w:rsid w:val="002C3A95"/>
    <w:rsid w:val="002C4EA6"/>
    <w:rsid w:val="002C5280"/>
    <w:rsid w:val="002C55A6"/>
    <w:rsid w:val="002C5D11"/>
    <w:rsid w:val="002C6255"/>
    <w:rsid w:val="002C6E3E"/>
    <w:rsid w:val="002D1214"/>
    <w:rsid w:val="002D2553"/>
    <w:rsid w:val="002D2B0D"/>
    <w:rsid w:val="002D2B82"/>
    <w:rsid w:val="002D2F36"/>
    <w:rsid w:val="002D365F"/>
    <w:rsid w:val="002D36B6"/>
    <w:rsid w:val="002D45F7"/>
    <w:rsid w:val="002D5D04"/>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554"/>
    <w:rsid w:val="002E69B4"/>
    <w:rsid w:val="002E6CE6"/>
    <w:rsid w:val="002E6DEE"/>
    <w:rsid w:val="002E725C"/>
    <w:rsid w:val="002E7FEB"/>
    <w:rsid w:val="002F0677"/>
    <w:rsid w:val="002F11B9"/>
    <w:rsid w:val="002F143E"/>
    <w:rsid w:val="002F144D"/>
    <w:rsid w:val="002F18A9"/>
    <w:rsid w:val="002F1E06"/>
    <w:rsid w:val="002F1E8E"/>
    <w:rsid w:val="002F2017"/>
    <w:rsid w:val="002F3CD5"/>
    <w:rsid w:val="002F537A"/>
    <w:rsid w:val="002F5C07"/>
    <w:rsid w:val="002F72DA"/>
    <w:rsid w:val="0030017F"/>
    <w:rsid w:val="00300E13"/>
    <w:rsid w:val="00301EE5"/>
    <w:rsid w:val="0030235D"/>
    <w:rsid w:val="00302857"/>
    <w:rsid w:val="00302A21"/>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406"/>
    <w:rsid w:val="00313A5B"/>
    <w:rsid w:val="00313CB0"/>
    <w:rsid w:val="00313F96"/>
    <w:rsid w:val="00313FD2"/>
    <w:rsid w:val="003141A7"/>
    <w:rsid w:val="003151C8"/>
    <w:rsid w:val="003151EE"/>
    <w:rsid w:val="00315980"/>
    <w:rsid w:val="00315A04"/>
    <w:rsid w:val="003163BD"/>
    <w:rsid w:val="003168D9"/>
    <w:rsid w:val="0031771F"/>
    <w:rsid w:val="003179C3"/>
    <w:rsid w:val="00320768"/>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D75"/>
    <w:rsid w:val="00327DEB"/>
    <w:rsid w:val="003302A3"/>
    <w:rsid w:val="003302DF"/>
    <w:rsid w:val="00330AFE"/>
    <w:rsid w:val="003315AB"/>
    <w:rsid w:val="00331C86"/>
    <w:rsid w:val="0033210A"/>
    <w:rsid w:val="00332CA2"/>
    <w:rsid w:val="0033377D"/>
    <w:rsid w:val="003344D2"/>
    <w:rsid w:val="00335235"/>
    <w:rsid w:val="00335B31"/>
    <w:rsid w:val="00335C2D"/>
    <w:rsid w:val="00335E17"/>
    <w:rsid w:val="00340887"/>
    <w:rsid w:val="00340968"/>
    <w:rsid w:val="00340ECA"/>
    <w:rsid w:val="0034111C"/>
    <w:rsid w:val="00341B23"/>
    <w:rsid w:val="00341C27"/>
    <w:rsid w:val="003425A1"/>
    <w:rsid w:val="0034289A"/>
    <w:rsid w:val="00342C2C"/>
    <w:rsid w:val="00342DD3"/>
    <w:rsid w:val="00343144"/>
    <w:rsid w:val="0034388A"/>
    <w:rsid w:val="00344127"/>
    <w:rsid w:val="003444BE"/>
    <w:rsid w:val="003449E4"/>
    <w:rsid w:val="00345063"/>
    <w:rsid w:val="00346B8E"/>
    <w:rsid w:val="00346DFD"/>
    <w:rsid w:val="00346FDF"/>
    <w:rsid w:val="00347245"/>
    <w:rsid w:val="003472CC"/>
    <w:rsid w:val="003474B8"/>
    <w:rsid w:val="00347B6F"/>
    <w:rsid w:val="00347F95"/>
    <w:rsid w:val="0035013E"/>
    <w:rsid w:val="003501AE"/>
    <w:rsid w:val="00351B52"/>
    <w:rsid w:val="00351E40"/>
    <w:rsid w:val="00352D21"/>
    <w:rsid w:val="003532D4"/>
    <w:rsid w:val="003536FE"/>
    <w:rsid w:val="00353A08"/>
    <w:rsid w:val="0035592D"/>
    <w:rsid w:val="00355D71"/>
    <w:rsid w:val="00355E7B"/>
    <w:rsid w:val="0035756B"/>
    <w:rsid w:val="00357B29"/>
    <w:rsid w:val="00357B9C"/>
    <w:rsid w:val="00360E66"/>
    <w:rsid w:val="00361295"/>
    <w:rsid w:val="00361310"/>
    <w:rsid w:val="0036140A"/>
    <w:rsid w:val="00362676"/>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D2D"/>
    <w:rsid w:val="00377F01"/>
    <w:rsid w:val="0038007A"/>
    <w:rsid w:val="00380266"/>
    <w:rsid w:val="00380306"/>
    <w:rsid w:val="00380E9D"/>
    <w:rsid w:val="00383F09"/>
    <w:rsid w:val="003840EA"/>
    <w:rsid w:val="0038570F"/>
    <w:rsid w:val="00385B94"/>
    <w:rsid w:val="003860C3"/>
    <w:rsid w:val="00386264"/>
    <w:rsid w:val="00387666"/>
    <w:rsid w:val="00387683"/>
    <w:rsid w:val="0038795B"/>
    <w:rsid w:val="003900F3"/>
    <w:rsid w:val="00390610"/>
    <w:rsid w:val="0039061E"/>
    <w:rsid w:val="00390809"/>
    <w:rsid w:val="00390E7E"/>
    <w:rsid w:val="00390FA1"/>
    <w:rsid w:val="0039158C"/>
    <w:rsid w:val="003915B6"/>
    <w:rsid w:val="00391BA6"/>
    <w:rsid w:val="00391C76"/>
    <w:rsid w:val="003926C2"/>
    <w:rsid w:val="003929C3"/>
    <w:rsid w:val="00392CB1"/>
    <w:rsid w:val="003935EC"/>
    <w:rsid w:val="003937E5"/>
    <w:rsid w:val="003938BD"/>
    <w:rsid w:val="00393A1E"/>
    <w:rsid w:val="003940AA"/>
    <w:rsid w:val="003943B9"/>
    <w:rsid w:val="0039489E"/>
    <w:rsid w:val="0039496A"/>
    <w:rsid w:val="00394BB7"/>
    <w:rsid w:val="0039504F"/>
    <w:rsid w:val="00395FD5"/>
    <w:rsid w:val="00396475"/>
    <w:rsid w:val="003A00F4"/>
    <w:rsid w:val="003A0C6D"/>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1092"/>
    <w:rsid w:val="003C2343"/>
    <w:rsid w:val="003C2C35"/>
    <w:rsid w:val="003C2E28"/>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98A"/>
    <w:rsid w:val="003D1D26"/>
    <w:rsid w:val="003D1F23"/>
    <w:rsid w:val="003D28B1"/>
    <w:rsid w:val="003D3052"/>
    <w:rsid w:val="003D38C8"/>
    <w:rsid w:val="003D402B"/>
    <w:rsid w:val="003D576F"/>
    <w:rsid w:val="003D767C"/>
    <w:rsid w:val="003E0594"/>
    <w:rsid w:val="003E1325"/>
    <w:rsid w:val="003E275E"/>
    <w:rsid w:val="003E3F38"/>
    <w:rsid w:val="003E52DA"/>
    <w:rsid w:val="003E5B29"/>
    <w:rsid w:val="003E5E46"/>
    <w:rsid w:val="003E61C3"/>
    <w:rsid w:val="003E6D55"/>
    <w:rsid w:val="003E6F97"/>
    <w:rsid w:val="003F04D3"/>
    <w:rsid w:val="003F0788"/>
    <w:rsid w:val="003F1329"/>
    <w:rsid w:val="003F1A7F"/>
    <w:rsid w:val="003F3084"/>
    <w:rsid w:val="003F3B26"/>
    <w:rsid w:val="003F3B54"/>
    <w:rsid w:val="003F5D59"/>
    <w:rsid w:val="003F6030"/>
    <w:rsid w:val="003F6069"/>
    <w:rsid w:val="003F702F"/>
    <w:rsid w:val="00400353"/>
    <w:rsid w:val="0040053A"/>
    <w:rsid w:val="004006BC"/>
    <w:rsid w:val="00400C1D"/>
    <w:rsid w:val="00400D0A"/>
    <w:rsid w:val="00401B6D"/>
    <w:rsid w:val="00401E2C"/>
    <w:rsid w:val="00402838"/>
    <w:rsid w:val="00403375"/>
    <w:rsid w:val="00403435"/>
    <w:rsid w:val="0040343F"/>
    <w:rsid w:val="00403EB1"/>
    <w:rsid w:val="004042DC"/>
    <w:rsid w:val="00405A61"/>
    <w:rsid w:val="00405A85"/>
    <w:rsid w:val="00406595"/>
    <w:rsid w:val="0040697D"/>
    <w:rsid w:val="00406ED2"/>
    <w:rsid w:val="00407434"/>
    <w:rsid w:val="00410094"/>
    <w:rsid w:val="004100B3"/>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1E97"/>
    <w:rsid w:val="00422BBE"/>
    <w:rsid w:val="0042306D"/>
    <w:rsid w:val="004234F9"/>
    <w:rsid w:val="00423DE8"/>
    <w:rsid w:val="00424FA7"/>
    <w:rsid w:val="00425325"/>
    <w:rsid w:val="004255B8"/>
    <w:rsid w:val="004257BB"/>
    <w:rsid w:val="00426016"/>
    <w:rsid w:val="0042605A"/>
    <w:rsid w:val="004264CB"/>
    <w:rsid w:val="00426580"/>
    <w:rsid w:val="00426DA6"/>
    <w:rsid w:val="0042732D"/>
    <w:rsid w:val="004276F1"/>
    <w:rsid w:val="00427BEF"/>
    <w:rsid w:val="00430158"/>
    <w:rsid w:val="00430C5B"/>
    <w:rsid w:val="00430D56"/>
    <w:rsid w:val="0043202F"/>
    <w:rsid w:val="00432110"/>
    <w:rsid w:val="00432A2F"/>
    <w:rsid w:val="00433506"/>
    <w:rsid w:val="00433730"/>
    <w:rsid w:val="0043400A"/>
    <w:rsid w:val="004348B3"/>
    <w:rsid w:val="00435652"/>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59A"/>
    <w:rsid w:val="004521DE"/>
    <w:rsid w:val="00453341"/>
    <w:rsid w:val="00454106"/>
    <w:rsid w:val="00454D50"/>
    <w:rsid w:val="004567B7"/>
    <w:rsid w:val="00456D13"/>
    <w:rsid w:val="00457671"/>
    <w:rsid w:val="00457A67"/>
    <w:rsid w:val="00457ACC"/>
    <w:rsid w:val="0046048D"/>
    <w:rsid w:val="00460FCA"/>
    <w:rsid w:val="00461210"/>
    <w:rsid w:val="00461E37"/>
    <w:rsid w:val="004627C1"/>
    <w:rsid w:val="00462F68"/>
    <w:rsid w:val="004632B6"/>
    <w:rsid w:val="0046341B"/>
    <w:rsid w:val="00463B13"/>
    <w:rsid w:val="00464589"/>
    <w:rsid w:val="00466292"/>
    <w:rsid w:val="00466649"/>
    <w:rsid w:val="00466778"/>
    <w:rsid w:val="00467311"/>
    <w:rsid w:val="00467E1A"/>
    <w:rsid w:val="00467FA5"/>
    <w:rsid w:val="004701AA"/>
    <w:rsid w:val="004705EF"/>
    <w:rsid w:val="004721BC"/>
    <w:rsid w:val="00473D37"/>
    <w:rsid w:val="0047458B"/>
    <w:rsid w:val="00475103"/>
    <w:rsid w:val="00475614"/>
    <w:rsid w:val="00475C63"/>
    <w:rsid w:val="004762AB"/>
    <w:rsid w:val="004763E0"/>
    <w:rsid w:val="00477593"/>
    <w:rsid w:val="004778B5"/>
    <w:rsid w:val="004778D2"/>
    <w:rsid w:val="00477B04"/>
    <w:rsid w:val="00477EA7"/>
    <w:rsid w:val="00481046"/>
    <w:rsid w:val="00481645"/>
    <w:rsid w:val="004823FD"/>
    <w:rsid w:val="0048311C"/>
    <w:rsid w:val="00483261"/>
    <w:rsid w:val="004832C7"/>
    <w:rsid w:val="0048348A"/>
    <w:rsid w:val="0048411E"/>
    <w:rsid w:val="0048420B"/>
    <w:rsid w:val="00484E71"/>
    <w:rsid w:val="00484F57"/>
    <w:rsid w:val="00485CE3"/>
    <w:rsid w:val="00485EB5"/>
    <w:rsid w:val="00485FDC"/>
    <w:rsid w:val="004865FB"/>
    <w:rsid w:val="00486D96"/>
    <w:rsid w:val="0048769F"/>
    <w:rsid w:val="00487EF1"/>
    <w:rsid w:val="00490831"/>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A1717"/>
    <w:rsid w:val="004A1DA1"/>
    <w:rsid w:val="004A1EC2"/>
    <w:rsid w:val="004A25B6"/>
    <w:rsid w:val="004A2685"/>
    <w:rsid w:val="004A26EF"/>
    <w:rsid w:val="004A284B"/>
    <w:rsid w:val="004A2FEB"/>
    <w:rsid w:val="004A32EB"/>
    <w:rsid w:val="004A4185"/>
    <w:rsid w:val="004A470B"/>
    <w:rsid w:val="004A4BC3"/>
    <w:rsid w:val="004A4D1B"/>
    <w:rsid w:val="004A59C7"/>
    <w:rsid w:val="004A61AC"/>
    <w:rsid w:val="004A67FF"/>
    <w:rsid w:val="004A6834"/>
    <w:rsid w:val="004A6A43"/>
    <w:rsid w:val="004A6EF7"/>
    <w:rsid w:val="004A7854"/>
    <w:rsid w:val="004B103E"/>
    <w:rsid w:val="004B1085"/>
    <w:rsid w:val="004B185D"/>
    <w:rsid w:val="004B1D34"/>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52C0"/>
    <w:rsid w:val="004D5F47"/>
    <w:rsid w:val="004D61FE"/>
    <w:rsid w:val="004D6321"/>
    <w:rsid w:val="004D64D4"/>
    <w:rsid w:val="004D6C29"/>
    <w:rsid w:val="004E0718"/>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5835"/>
    <w:rsid w:val="004F5AA7"/>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5640"/>
    <w:rsid w:val="00516D12"/>
    <w:rsid w:val="00516FD9"/>
    <w:rsid w:val="0051727D"/>
    <w:rsid w:val="0051734D"/>
    <w:rsid w:val="00517C73"/>
    <w:rsid w:val="00517F40"/>
    <w:rsid w:val="0052090C"/>
    <w:rsid w:val="0052113F"/>
    <w:rsid w:val="00522140"/>
    <w:rsid w:val="00522255"/>
    <w:rsid w:val="00522867"/>
    <w:rsid w:val="00522C84"/>
    <w:rsid w:val="00522FAD"/>
    <w:rsid w:val="00523574"/>
    <w:rsid w:val="00523764"/>
    <w:rsid w:val="00524572"/>
    <w:rsid w:val="005256FD"/>
    <w:rsid w:val="0052595A"/>
    <w:rsid w:val="00525B52"/>
    <w:rsid w:val="00525D5F"/>
    <w:rsid w:val="00526FB5"/>
    <w:rsid w:val="005276BC"/>
    <w:rsid w:val="00527E6D"/>
    <w:rsid w:val="00530AED"/>
    <w:rsid w:val="00532ADE"/>
    <w:rsid w:val="0053421D"/>
    <w:rsid w:val="005342F0"/>
    <w:rsid w:val="005346A5"/>
    <w:rsid w:val="00535C77"/>
    <w:rsid w:val="00535D9C"/>
    <w:rsid w:val="005363E8"/>
    <w:rsid w:val="005367BE"/>
    <w:rsid w:val="00536B4D"/>
    <w:rsid w:val="0053741D"/>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CAE"/>
    <w:rsid w:val="00580D6E"/>
    <w:rsid w:val="00580E26"/>
    <w:rsid w:val="005815FD"/>
    <w:rsid w:val="005818F0"/>
    <w:rsid w:val="005843CA"/>
    <w:rsid w:val="0058496C"/>
    <w:rsid w:val="00584C6F"/>
    <w:rsid w:val="00585894"/>
    <w:rsid w:val="00585BDC"/>
    <w:rsid w:val="00585C54"/>
    <w:rsid w:val="005866AE"/>
    <w:rsid w:val="00587209"/>
    <w:rsid w:val="00587583"/>
    <w:rsid w:val="00590508"/>
    <w:rsid w:val="005910FF"/>
    <w:rsid w:val="00591182"/>
    <w:rsid w:val="005929A4"/>
    <w:rsid w:val="00592A63"/>
    <w:rsid w:val="00592E78"/>
    <w:rsid w:val="00592EB2"/>
    <w:rsid w:val="00593AFA"/>
    <w:rsid w:val="005948F0"/>
    <w:rsid w:val="005951B6"/>
    <w:rsid w:val="0059645C"/>
    <w:rsid w:val="005966B3"/>
    <w:rsid w:val="005975F5"/>
    <w:rsid w:val="00597EBB"/>
    <w:rsid w:val="005A0173"/>
    <w:rsid w:val="005A10EE"/>
    <w:rsid w:val="005A1C50"/>
    <w:rsid w:val="005A2A83"/>
    <w:rsid w:val="005A36A5"/>
    <w:rsid w:val="005A510C"/>
    <w:rsid w:val="005A58FF"/>
    <w:rsid w:val="005A5DE1"/>
    <w:rsid w:val="005A5FE6"/>
    <w:rsid w:val="005A6069"/>
    <w:rsid w:val="005A6290"/>
    <w:rsid w:val="005A70F8"/>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3858"/>
    <w:rsid w:val="005D49DA"/>
    <w:rsid w:val="005D67F8"/>
    <w:rsid w:val="005D6AFC"/>
    <w:rsid w:val="005D712D"/>
    <w:rsid w:val="005D718D"/>
    <w:rsid w:val="005D79C5"/>
    <w:rsid w:val="005D7DE6"/>
    <w:rsid w:val="005E165C"/>
    <w:rsid w:val="005E1AF9"/>
    <w:rsid w:val="005E2732"/>
    <w:rsid w:val="005E3F9F"/>
    <w:rsid w:val="005E4F2B"/>
    <w:rsid w:val="005F085D"/>
    <w:rsid w:val="005F0A0B"/>
    <w:rsid w:val="005F0D07"/>
    <w:rsid w:val="005F0E4E"/>
    <w:rsid w:val="005F30A0"/>
    <w:rsid w:val="005F366E"/>
    <w:rsid w:val="005F3814"/>
    <w:rsid w:val="005F5B47"/>
    <w:rsid w:val="005F60D1"/>
    <w:rsid w:val="005F6C3A"/>
    <w:rsid w:val="005F6D0A"/>
    <w:rsid w:val="005F6DA0"/>
    <w:rsid w:val="00600509"/>
    <w:rsid w:val="00601116"/>
    <w:rsid w:val="00601227"/>
    <w:rsid w:val="00601B65"/>
    <w:rsid w:val="00601BD4"/>
    <w:rsid w:val="00602C65"/>
    <w:rsid w:val="00602ED7"/>
    <w:rsid w:val="00603104"/>
    <w:rsid w:val="0060346C"/>
    <w:rsid w:val="006038A6"/>
    <w:rsid w:val="00603E9F"/>
    <w:rsid w:val="00604258"/>
    <w:rsid w:val="0060483B"/>
    <w:rsid w:val="006055A9"/>
    <w:rsid w:val="00605AA9"/>
    <w:rsid w:val="00605C62"/>
    <w:rsid w:val="00605E70"/>
    <w:rsid w:val="0060639E"/>
    <w:rsid w:val="00606B00"/>
    <w:rsid w:val="00607973"/>
    <w:rsid w:val="006106A7"/>
    <w:rsid w:val="00610BEE"/>
    <w:rsid w:val="00610E1D"/>
    <w:rsid w:val="00610F87"/>
    <w:rsid w:val="00612DF0"/>
    <w:rsid w:val="006135EF"/>
    <w:rsid w:val="006139EF"/>
    <w:rsid w:val="00614CD1"/>
    <w:rsid w:val="00614FCF"/>
    <w:rsid w:val="0061657A"/>
    <w:rsid w:val="00616FAD"/>
    <w:rsid w:val="006170B7"/>
    <w:rsid w:val="00617D97"/>
    <w:rsid w:val="0062202B"/>
    <w:rsid w:val="006224A4"/>
    <w:rsid w:val="00622BEC"/>
    <w:rsid w:val="00622C11"/>
    <w:rsid w:val="006233EE"/>
    <w:rsid w:val="0062428B"/>
    <w:rsid w:val="0062487E"/>
    <w:rsid w:val="00624A16"/>
    <w:rsid w:val="00625597"/>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ADD"/>
    <w:rsid w:val="00637C33"/>
    <w:rsid w:val="00637C38"/>
    <w:rsid w:val="00640690"/>
    <w:rsid w:val="00640E07"/>
    <w:rsid w:val="0064103D"/>
    <w:rsid w:val="00641374"/>
    <w:rsid w:val="00641671"/>
    <w:rsid w:val="00642F1C"/>
    <w:rsid w:val="00643A56"/>
    <w:rsid w:val="00643E7F"/>
    <w:rsid w:val="0064536F"/>
    <w:rsid w:val="00645A59"/>
    <w:rsid w:val="00646676"/>
    <w:rsid w:val="006466FB"/>
    <w:rsid w:val="006467E6"/>
    <w:rsid w:val="006472E1"/>
    <w:rsid w:val="006476E0"/>
    <w:rsid w:val="006503A0"/>
    <w:rsid w:val="00650E37"/>
    <w:rsid w:val="00650E85"/>
    <w:rsid w:val="00652869"/>
    <w:rsid w:val="00652D86"/>
    <w:rsid w:val="00652F24"/>
    <w:rsid w:val="00652FFF"/>
    <w:rsid w:val="00653F38"/>
    <w:rsid w:val="0065409A"/>
    <w:rsid w:val="00654CCF"/>
    <w:rsid w:val="00655D1E"/>
    <w:rsid w:val="00655F0E"/>
    <w:rsid w:val="0065648A"/>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52BE"/>
    <w:rsid w:val="00666086"/>
    <w:rsid w:val="00667501"/>
    <w:rsid w:val="00667F37"/>
    <w:rsid w:val="00670071"/>
    <w:rsid w:val="0067015A"/>
    <w:rsid w:val="0067017C"/>
    <w:rsid w:val="00670DDA"/>
    <w:rsid w:val="00670FE6"/>
    <w:rsid w:val="00671C37"/>
    <w:rsid w:val="00671E11"/>
    <w:rsid w:val="006734F6"/>
    <w:rsid w:val="006741FC"/>
    <w:rsid w:val="006745E4"/>
    <w:rsid w:val="00674B2D"/>
    <w:rsid w:val="006754CD"/>
    <w:rsid w:val="006758CA"/>
    <w:rsid w:val="00675A1F"/>
    <w:rsid w:val="00675BE0"/>
    <w:rsid w:val="00675D5A"/>
    <w:rsid w:val="00675F2A"/>
    <w:rsid w:val="006761F8"/>
    <w:rsid w:val="00676857"/>
    <w:rsid w:val="00677925"/>
    <w:rsid w:val="006803ED"/>
    <w:rsid w:val="0068048F"/>
    <w:rsid w:val="006804BC"/>
    <w:rsid w:val="0068124F"/>
    <w:rsid w:val="0068169C"/>
    <w:rsid w:val="006818A4"/>
    <w:rsid w:val="00681A45"/>
    <w:rsid w:val="0068212A"/>
    <w:rsid w:val="006846E2"/>
    <w:rsid w:val="00684CA7"/>
    <w:rsid w:val="006853D4"/>
    <w:rsid w:val="00685B89"/>
    <w:rsid w:val="00685F9A"/>
    <w:rsid w:val="006861FD"/>
    <w:rsid w:val="0068640A"/>
    <w:rsid w:val="0068647B"/>
    <w:rsid w:val="0068655E"/>
    <w:rsid w:val="00686D65"/>
    <w:rsid w:val="00687270"/>
    <w:rsid w:val="0068783A"/>
    <w:rsid w:val="0069054C"/>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32B"/>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B5F"/>
    <w:rsid w:val="006A7FFB"/>
    <w:rsid w:val="006B05A2"/>
    <w:rsid w:val="006B08FE"/>
    <w:rsid w:val="006B2238"/>
    <w:rsid w:val="006B28E9"/>
    <w:rsid w:val="006B2CD5"/>
    <w:rsid w:val="006B3459"/>
    <w:rsid w:val="006B35D1"/>
    <w:rsid w:val="006B39A2"/>
    <w:rsid w:val="006B4BAD"/>
    <w:rsid w:val="006B5095"/>
    <w:rsid w:val="006B6977"/>
    <w:rsid w:val="006C0399"/>
    <w:rsid w:val="006C0925"/>
    <w:rsid w:val="006C0BEA"/>
    <w:rsid w:val="006C0CBB"/>
    <w:rsid w:val="006C0D75"/>
    <w:rsid w:val="006C14F9"/>
    <w:rsid w:val="006C1952"/>
    <w:rsid w:val="006C2A38"/>
    <w:rsid w:val="006C2BF7"/>
    <w:rsid w:val="006C3B93"/>
    <w:rsid w:val="006C3FC9"/>
    <w:rsid w:val="006C5177"/>
    <w:rsid w:val="006C6EE7"/>
    <w:rsid w:val="006C7D48"/>
    <w:rsid w:val="006D0137"/>
    <w:rsid w:val="006D03E4"/>
    <w:rsid w:val="006D0555"/>
    <w:rsid w:val="006D1EC3"/>
    <w:rsid w:val="006D2CF9"/>
    <w:rsid w:val="006D2DFD"/>
    <w:rsid w:val="006D31BC"/>
    <w:rsid w:val="006D3FD3"/>
    <w:rsid w:val="006D4697"/>
    <w:rsid w:val="006D58D9"/>
    <w:rsid w:val="006D62E3"/>
    <w:rsid w:val="006D63B9"/>
    <w:rsid w:val="006E059F"/>
    <w:rsid w:val="006E0BDC"/>
    <w:rsid w:val="006E13D1"/>
    <w:rsid w:val="006E22A7"/>
    <w:rsid w:val="006E2981"/>
    <w:rsid w:val="006E3D74"/>
    <w:rsid w:val="006E52A1"/>
    <w:rsid w:val="006E6652"/>
    <w:rsid w:val="006E6A0C"/>
    <w:rsid w:val="006E6AB2"/>
    <w:rsid w:val="006E6BA3"/>
    <w:rsid w:val="006E6FFE"/>
    <w:rsid w:val="006E773F"/>
    <w:rsid w:val="006E7EE5"/>
    <w:rsid w:val="006F0214"/>
    <w:rsid w:val="006F076B"/>
    <w:rsid w:val="006F123E"/>
    <w:rsid w:val="006F2D22"/>
    <w:rsid w:val="006F310D"/>
    <w:rsid w:val="006F3589"/>
    <w:rsid w:val="006F4254"/>
    <w:rsid w:val="006F4583"/>
    <w:rsid w:val="006F4B34"/>
    <w:rsid w:val="006F55BE"/>
    <w:rsid w:val="006F5B4E"/>
    <w:rsid w:val="006F63D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6014"/>
    <w:rsid w:val="00707A3A"/>
    <w:rsid w:val="007100F9"/>
    <w:rsid w:val="00710282"/>
    <w:rsid w:val="007106D4"/>
    <w:rsid w:val="00710BCC"/>
    <w:rsid w:val="00711275"/>
    <w:rsid w:val="00711888"/>
    <w:rsid w:val="00711C28"/>
    <w:rsid w:val="00711E13"/>
    <w:rsid w:val="00712A7A"/>
    <w:rsid w:val="00712EDA"/>
    <w:rsid w:val="007143F8"/>
    <w:rsid w:val="00715FD6"/>
    <w:rsid w:val="007162D8"/>
    <w:rsid w:val="0071705B"/>
    <w:rsid w:val="007173F4"/>
    <w:rsid w:val="007178D3"/>
    <w:rsid w:val="00720213"/>
    <w:rsid w:val="007202E7"/>
    <w:rsid w:val="0072256E"/>
    <w:rsid w:val="00722DD1"/>
    <w:rsid w:val="0072313E"/>
    <w:rsid w:val="00723BD3"/>
    <w:rsid w:val="00723C15"/>
    <w:rsid w:val="007249DE"/>
    <w:rsid w:val="00724B19"/>
    <w:rsid w:val="00725709"/>
    <w:rsid w:val="00725A3E"/>
    <w:rsid w:val="0072676B"/>
    <w:rsid w:val="00726962"/>
    <w:rsid w:val="00727F52"/>
    <w:rsid w:val="007309E7"/>
    <w:rsid w:val="00730C41"/>
    <w:rsid w:val="00731064"/>
    <w:rsid w:val="00731284"/>
    <w:rsid w:val="00731E2B"/>
    <w:rsid w:val="00734642"/>
    <w:rsid w:val="0073474B"/>
    <w:rsid w:val="00734850"/>
    <w:rsid w:val="007349E6"/>
    <w:rsid w:val="00735506"/>
    <w:rsid w:val="0073555B"/>
    <w:rsid w:val="0073580A"/>
    <w:rsid w:val="00736418"/>
    <w:rsid w:val="007375A2"/>
    <w:rsid w:val="007401FE"/>
    <w:rsid w:val="007405B2"/>
    <w:rsid w:val="0074067F"/>
    <w:rsid w:val="00740832"/>
    <w:rsid w:val="007412C6"/>
    <w:rsid w:val="00742DF9"/>
    <w:rsid w:val="00743028"/>
    <w:rsid w:val="007433FE"/>
    <w:rsid w:val="007455FD"/>
    <w:rsid w:val="00746086"/>
    <w:rsid w:val="007460F5"/>
    <w:rsid w:val="00746659"/>
    <w:rsid w:val="0074691A"/>
    <w:rsid w:val="007469EE"/>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F56"/>
    <w:rsid w:val="007613F5"/>
    <w:rsid w:val="00761485"/>
    <w:rsid w:val="00762A13"/>
    <w:rsid w:val="007633C9"/>
    <w:rsid w:val="00763B3C"/>
    <w:rsid w:val="00763EF1"/>
    <w:rsid w:val="00765261"/>
    <w:rsid w:val="0076662D"/>
    <w:rsid w:val="007677ED"/>
    <w:rsid w:val="0076783D"/>
    <w:rsid w:val="00767AB7"/>
    <w:rsid w:val="00771760"/>
    <w:rsid w:val="00771FFA"/>
    <w:rsid w:val="0077237F"/>
    <w:rsid w:val="007725F9"/>
    <w:rsid w:val="00773858"/>
    <w:rsid w:val="007739FC"/>
    <w:rsid w:val="00773E62"/>
    <w:rsid w:val="007746CD"/>
    <w:rsid w:val="0077548E"/>
    <w:rsid w:val="007757FC"/>
    <w:rsid w:val="0077597C"/>
    <w:rsid w:val="00775AED"/>
    <w:rsid w:val="00776626"/>
    <w:rsid w:val="00776F0C"/>
    <w:rsid w:val="007774E2"/>
    <w:rsid w:val="00777911"/>
    <w:rsid w:val="00777B09"/>
    <w:rsid w:val="007805A8"/>
    <w:rsid w:val="00780D9D"/>
    <w:rsid w:val="00781026"/>
    <w:rsid w:val="00781CAE"/>
    <w:rsid w:val="00781E6B"/>
    <w:rsid w:val="00782217"/>
    <w:rsid w:val="0078327E"/>
    <w:rsid w:val="0078349C"/>
    <w:rsid w:val="007835B8"/>
    <w:rsid w:val="0078369B"/>
    <w:rsid w:val="00783B37"/>
    <w:rsid w:val="0078457B"/>
    <w:rsid w:val="00784BAF"/>
    <w:rsid w:val="00785838"/>
    <w:rsid w:val="007862BE"/>
    <w:rsid w:val="007865DE"/>
    <w:rsid w:val="00786B93"/>
    <w:rsid w:val="00787051"/>
    <w:rsid w:val="00787640"/>
    <w:rsid w:val="007876E4"/>
    <w:rsid w:val="007906C3"/>
    <w:rsid w:val="007909D7"/>
    <w:rsid w:val="00790DA3"/>
    <w:rsid w:val="00790F4F"/>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A08F5"/>
    <w:rsid w:val="007A0CAE"/>
    <w:rsid w:val="007A120A"/>
    <w:rsid w:val="007A13B1"/>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6E28"/>
    <w:rsid w:val="007B7496"/>
    <w:rsid w:val="007B7EDA"/>
    <w:rsid w:val="007C11E4"/>
    <w:rsid w:val="007C184F"/>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5DC"/>
    <w:rsid w:val="007F76A3"/>
    <w:rsid w:val="00800662"/>
    <w:rsid w:val="008006AF"/>
    <w:rsid w:val="008012B9"/>
    <w:rsid w:val="0080153E"/>
    <w:rsid w:val="0080242F"/>
    <w:rsid w:val="00803A30"/>
    <w:rsid w:val="008049FB"/>
    <w:rsid w:val="00804DEF"/>
    <w:rsid w:val="00804E1E"/>
    <w:rsid w:val="00804F2D"/>
    <w:rsid w:val="0080527E"/>
    <w:rsid w:val="00805924"/>
    <w:rsid w:val="00805994"/>
    <w:rsid w:val="008066EC"/>
    <w:rsid w:val="0080716C"/>
    <w:rsid w:val="0080743E"/>
    <w:rsid w:val="008074C3"/>
    <w:rsid w:val="00807A07"/>
    <w:rsid w:val="00810469"/>
    <w:rsid w:val="00810ECE"/>
    <w:rsid w:val="008119BF"/>
    <w:rsid w:val="00812113"/>
    <w:rsid w:val="0081331C"/>
    <w:rsid w:val="00813CDD"/>
    <w:rsid w:val="00814452"/>
    <w:rsid w:val="00815CBB"/>
    <w:rsid w:val="00815D32"/>
    <w:rsid w:val="0081657A"/>
    <w:rsid w:val="0081759D"/>
    <w:rsid w:val="00817B04"/>
    <w:rsid w:val="00817ECB"/>
    <w:rsid w:val="00817F2D"/>
    <w:rsid w:val="00820163"/>
    <w:rsid w:val="0082069F"/>
    <w:rsid w:val="00820C03"/>
    <w:rsid w:val="00820CB1"/>
    <w:rsid w:val="00820D4A"/>
    <w:rsid w:val="00821120"/>
    <w:rsid w:val="00821698"/>
    <w:rsid w:val="00822A5F"/>
    <w:rsid w:val="00822EF0"/>
    <w:rsid w:val="008230A4"/>
    <w:rsid w:val="00823412"/>
    <w:rsid w:val="008248A4"/>
    <w:rsid w:val="0082505B"/>
    <w:rsid w:val="00826DD9"/>
    <w:rsid w:val="00827842"/>
    <w:rsid w:val="008278B6"/>
    <w:rsid w:val="0083011C"/>
    <w:rsid w:val="00830E79"/>
    <w:rsid w:val="008313A1"/>
    <w:rsid w:val="0083170B"/>
    <w:rsid w:val="00832017"/>
    <w:rsid w:val="00832328"/>
    <w:rsid w:val="008325BC"/>
    <w:rsid w:val="00832BA6"/>
    <w:rsid w:val="00833884"/>
    <w:rsid w:val="00833E5D"/>
    <w:rsid w:val="008342F5"/>
    <w:rsid w:val="008344AB"/>
    <w:rsid w:val="00834881"/>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166"/>
    <w:rsid w:val="00842CC6"/>
    <w:rsid w:val="00843114"/>
    <w:rsid w:val="00843A83"/>
    <w:rsid w:val="0084480A"/>
    <w:rsid w:val="00844E17"/>
    <w:rsid w:val="008452FD"/>
    <w:rsid w:val="00846135"/>
    <w:rsid w:val="00846AE6"/>
    <w:rsid w:val="00846F63"/>
    <w:rsid w:val="0084701C"/>
    <w:rsid w:val="00847298"/>
    <w:rsid w:val="00847AD5"/>
    <w:rsid w:val="00847CC3"/>
    <w:rsid w:val="00850616"/>
    <w:rsid w:val="00850895"/>
    <w:rsid w:val="00850CE0"/>
    <w:rsid w:val="00850EB7"/>
    <w:rsid w:val="00851964"/>
    <w:rsid w:val="00851DCF"/>
    <w:rsid w:val="00852307"/>
    <w:rsid w:val="008524EA"/>
    <w:rsid w:val="00852B47"/>
    <w:rsid w:val="00853D2D"/>
    <w:rsid w:val="00853FE7"/>
    <w:rsid w:val="0085450D"/>
    <w:rsid w:val="0085452C"/>
    <w:rsid w:val="008551A7"/>
    <w:rsid w:val="008556AB"/>
    <w:rsid w:val="0085573A"/>
    <w:rsid w:val="00855C9D"/>
    <w:rsid w:val="008602D0"/>
    <w:rsid w:val="00860479"/>
    <w:rsid w:val="008620E7"/>
    <w:rsid w:val="008627F9"/>
    <w:rsid w:val="00862C9D"/>
    <w:rsid w:val="008632B9"/>
    <w:rsid w:val="0086362F"/>
    <w:rsid w:val="00864D11"/>
    <w:rsid w:val="00865B7B"/>
    <w:rsid w:val="0086651B"/>
    <w:rsid w:val="008669CE"/>
    <w:rsid w:val="00866B81"/>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3F3"/>
    <w:rsid w:val="0087444A"/>
    <w:rsid w:val="00874907"/>
    <w:rsid w:val="00874A4F"/>
    <w:rsid w:val="00874C43"/>
    <w:rsid w:val="00875139"/>
    <w:rsid w:val="008752B9"/>
    <w:rsid w:val="00875410"/>
    <w:rsid w:val="00876929"/>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5226"/>
    <w:rsid w:val="00885499"/>
    <w:rsid w:val="0088573F"/>
    <w:rsid w:val="008868B1"/>
    <w:rsid w:val="008872E0"/>
    <w:rsid w:val="00887AFB"/>
    <w:rsid w:val="00887C46"/>
    <w:rsid w:val="008908D5"/>
    <w:rsid w:val="00890CEA"/>
    <w:rsid w:val="008914ED"/>
    <w:rsid w:val="0089239C"/>
    <w:rsid w:val="008926FE"/>
    <w:rsid w:val="0089365F"/>
    <w:rsid w:val="00894FF0"/>
    <w:rsid w:val="0089558A"/>
    <w:rsid w:val="008960C2"/>
    <w:rsid w:val="00896937"/>
    <w:rsid w:val="00896CB5"/>
    <w:rsid w:val="008976FE"/>
    <w:rsid w:val="00897C5A"/>
    <w:rsid w:val="008A1D0A"/>
    <w:rsid w:val="008A1DD7"/>
    <w:rsid w:val="008A1FB9"/>
    <w:rsid w:val="008A338F"/>
    <w:rsid w:val="008A36E4"/>
    <w:rsid w:val="008A40AE"/>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9D6"/>
    <w:rsid w:val="008B6D07"/>
    <w:rsid w:val="008B77E6"/>
    <w:rsid w:val="008B7D3B"/>
    <w:rsid w:val="008C0C4C"/>
    <w:rsid w:val="008C0FEE"/>
    <w:rsid w:val="008C1AD6"/>
    <w:rsid w:val="008C1DC0"/>
    <w:rsid w:val="008C2658"/>
    <w:rsid w:val="008C2964"/>
    <w:rsid w:val="008C2C58"/>
    <w:rsid w:val="008C375E"/>
    <w:rsid w:val="008C3956"/>
    <w:rsid w:val="008C4C4D"/>
    <w:rsid w:val="008C62C8"/>
    <w:rsid w:val="008C6EF2"/>
    <w:rsid w:val="008C732C"/>
    <w:rsid w:val="008D0543"/>
    <w:rsid w:val="008D0F58"/>
    <w:rsid w:val="008D1EA2"/>
    <w:rsid w:val="008D2946"/>
    <w:rsid w:val="008D3C06"/>
    <w:rsid w:val="008D4476"/>
    <w:rsid w:val="008D4596"/>
    <w:rsid w:val="008D50F9"/>
    <w:rsid w:val="008D51B2"/>
    <w:rsid w:val="008D6787"/>
    <w:rsid w:val="008D707B"/>
    <w:rsid w:val="008E06FE"/>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E7142"/>
    <w:rsid w:val="008F0300"/>
    <w:rsid w:val="008F0360"/>
    <w:rsid w:val="008F0580"/>
    <w:rsid w:val="008F0A7D"/>
    <w:rsid w:val="008F0AE1"/>
    <w:rsid w:val="008F0CB7"/>
    <w:rsid w:val="008F0EB6"/>
    <w:rsid w:val="008F0F1B"/>
    <w:rsid w:val="008F15C3"/>
    <w:rsid w:val="008F24A9"/>
    <w:rsid w:val="008F2E9B"/>
    <w:rsid w:val="008F315F"/>
    <w:rsid w:val="008F3545"/>
    <w:rsid w:val="008F3700"/>
    <w:rsid w:val="008F42A5"/>
    <w:rsid w:val="008F4992"/>
    <w:rsid w:val="008F5627"/>
    <w:rsid w:val="008F5959"/>
    <w:rsid w:val="008F6514"/>
    <w:rsid w:val="008F7A73"/>
    <w:rsid w:val="009007BB"/>
    <w:rsid w:val="0090140C"/>
    <w:rsid w:val="00901C0D"/>
    <w:rsid w:val="00902C20"/>
    <w:rsid w:val="00902E5B"/>
    <w:rsid w:val="00903166"/>
    <w:rsid w:val="00903329"/>
    <w:rsid w:val="0090350E"/>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73B"/>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503D"/>
    <w:rsid w:val="00925776"/>
    <w:rsid w:val="00926359"/>
    <w:rsid w:val="00927C14"/>
    <w:rsid w:val="00927E04"/>
    <w:rsid w:val="00930C42"/>
    <w:rsid w:val="00931ACC"/>
    <w:rsid w:val="0093373F"/>
    <w:rsid w:val="0093660A"/>
    <w:rsid w:val="00936767"/>
    <w:rsid w:val="00937883"/>
    <w:rsid w:val="00937AC7"/>
    <w:rsid w:val="00937EAA"/>
    <w:rsid w:val="009413A4"/>
    <w:rsid w:val="00941A25"/>
    <w:rsid w:val="00941BEF"/>
    <w:rsid w:val="009424A0"/>
    <w:rsid w:val="00942B97"/>
    <w:rsid w:val="00943136"/>
    <w:rsid w:val="009437A1"/>
    <w:rsid w:val="00943C91"/>
    <w:rsid w:val="00944029"/>
    <w:rsid w:val="00944079"/>
    <w:rsid w:val="00945A3C"/>
    <w:rsid w:val="00945D9E"/>
    <w:rsid w:val="00946DE8"/>
    <w:rsid w:val="00947AC8"/>
    <w:rsid w:val="00951861"/>
    <w:rsid w:val="009519EE"/>
    <w:rsid w:val="00951DEE"/>
    <w:rsid w:val="00952692"/>
    <w:rsid w:val="00952D5F"/>
    <w:rsid w:val="00952F25"/>
    <w:rsid w:val="009547CF"/>
    <w:rsid w:val="00954BA3"/>
    <w:rsid w:val="00954EF6"/>
    <w:rsid w:val="00954F6D"/>
    <w:rsid w:val="00955274"/>
    <w:rsid w:val="00956129"/>
    <w:rsid w:val="009562A9"/>
    <w:rsid w:val="009564FC"/>
    <w:rsid w:val="00956889"/>
    <w:rsid w:val="00956D9D"/>
    <w:rsid w:val="009605D7"/>
    <w:rsid w:val="00960A56"/>
    <w:rsid w:val="00961004"/>
    <w:rsid w:val="00961386"/>
    <w:rsid w:val="00961FBF"/>
    <w:rsid w:val="00963D24"/>
    <w:rsid w:val="0096480E"/>
    <w:rsid w:val="009651BC"/>
    <w:rsid w:val="00965938"/>
    <w:rsid w:val="00965A73"/>
    <w:rsid w:val="00965D49"/>
    <w:rsid w:val="00966093"/>
    <w:rsid w:val="00966EEA"/>
    <w:rsid w:val="0096767F"/>
    <w:rsid w:val="00967E1B"/>
    <w:rsid w:val="009705AA"/>
    <w:rsid w:val="00970DD5"/>
    <w:rsid w:val="009715AB"/>
    <w:rsid w:val="00972090"/>
    <w:rsid w:val="009720AB"/>
    <w:rsid w:val="00972BF4"/>
    <w:rsid w:val="0097313A"/>
    <w:rsid w:val="0097371B"/>
    <w:rsid w:val="00973C34"/>
    <w:rsid w:val="009748BF"/>
    <w:rsid w:val="00974F09"/>
    <w:rsid w:val="00976F48"/>
    <w:rsid w:val="00977746"/>
    <w:rsid w:val="009802D3"/>
    <w:rsid w:val="00980501"/>
    <w:rsid w:val="0098092C"/>
    <w:rsid w:val="0098268E"/>
    <w:rsid w:val="00983AD5"/>
    <w:rsid w:val="00983AFA"/>
    <w:rsid w:val="009841A0"/>
    <w:rsid w:val="00984E48"/>
    <w:rsid w:val="00985CEC"/>
    <w:rsid w:val="00985EF7"/>
    <w:rsid w:val="009864B1"/>
    <w:rsid w:val="00986573"/>
    <w:rsid w:val="009874E8"/>
    <w:rsid w:val="00987F01"/>
    <w:rsid w:val="009901D2"/>
    <w:rsid w:val="0099083A"/>
    <w:rsid w:val="00990D45"/>
    <w:rsid w:val="00991C38"/>
    <w:rsid w:val="00991DAD"/>
    <w:rsid w:val="0099279D"/>
    <w:rsid w:val="00992E50"/>
    <w:rsid w:val="00993836"/>
    <w:rsid w:val="009938A2"/>
    <w:rsid w:val="00995FB5"/>
    <w:rsid w:val="00997F19"/>
    <w:rsid w:val="009A03E1"/>
    <w:rsid w:val="009A0E19"/>
    <w:rsid w:val="009A16BB"/>
    <w:rsid w:val="009A29B3"/>
    <w:rsid w:val="009A2E69"/>
    <w:rsid w:val="009A31E9"/>
    <w:rsid w:val="009A33EF"/>
    <w:rsid w:val="009A33F0"/>
    <w:rsid w:val="009A3476"/>
    <w:rsid w:val="009A3B0D"/>
    <w:rsid w:val="009A3CE1"/>
    <w:rsid w:val="009A4ACA"/>
    <w:rsid w:val="009A6574"/>
    <w:rsid w:val="009B08B6"/>
    <w:rsid w:val="009B17E6"/>
    <w:rsid w:val="009B2051"/>
    <w:rsid w:val="009B2AE9"/>
    <w:rsid w:val="009B3A7F"/>
    <w:rsid w:val="009B3BB5"/>
    <w:rsid w:val="009B3EFF"/>
    <w:rsid w:val="009B5F01"/>
    <w:rsid w:val="009B6538"/>
    <w:rsid w:val="009B7ABB"/>
    <w:rsid w:val="009C0DE1"/>
    <w:rsid w:val="009C2C91"/>
    <w:rsid w:val="009C2DD2"/>
    <w:rsid w:val="009C3DB4"/>
    <w:rsid w:val="009C3FCB"/>
    <w:rsid w:val="009C4B78"/>
    <w:rsid w:val="009C4CF1"/>
    <w:rsid w:val="009C51D5"/>
    <w:rsid w:val="009C60ED"/>
    <w:rsid w:val="009C6335"/>
    <w:rsid w:val="009C73D2"/>
    <w:rsid w:val="009D0220"/>
    <w:rsid w:val="009D14D0"/>
    <w:rsid w:val="009D240A"/>
    <w:rsid w:val="009D444F"/>
    <w:rsid w:val="009D4A84"/>
    <w:rsid w:val="009D5589"/>
    <w:rsid w:val="009D698E"/>
    <w:rsid w:val="009E1C0E"/>
    <w:rsid w:val="009E1EB6"/>
    <w:rsid w:val="009E229D"/>
    <w:rsid w:val="009E2321"/>
    <w:rsid w:val="009E23C5"/>
    <w:rsid w:val="009E2C4E"/>
    <w:rsid w:val="009E2DAA"/>
    <w:rsid w:val="009E41D5"/>
    <w:rsid w:val="009E4210"/>
    <w:rsid w:val="009E4A05"/>
    <w:rsid w:val="009E4B10"/>
    <w:rsid w:val="009E4C52"/>
    <w:rsid w:val="009E5646"/>
    <w:rsid w:val="009E5976"/>
    <w:rsid w:val="009E5AF5"/>
    <w:rsid w:val="009E5D35"/>
    <w:rsid w:val="009E5E17"/>
    <w:rsid w:val="009E6002"/>
    <w:rsid w:val="009E63B9"/>
    <w:rsid w:val="009E658B"/>
    <w:rsid w:val="009E6ADD"/>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B2D"/>
    <w:rsid w:val="009F7D66"/>
    <w:rsid w:val="009F7F58"/>
    <w:rsid w:val="00A00553"/>
    <w:rsid w:val="00A007D4"/>
    <w:rsid w:val="00A01739"/>
    <w:rsid w:val="00A01967"/>
    <w:rsid w:val="00A02164"/>
    <w:rsid w:val="00A02FCE"/>
    <w:rsid w:val="00A04123"/>
    <w:rsid w:val="00A043DB"/>
    <w:rsid w:val="00A047DD"/>
    <w:rsid w:val="00A04CAD"/>
    <w:rsid w:val="00A04E9B"/>
    <w:rsid w:val="00A0528D"/>
    <w:rsid w:val="00A0608B"/>
    <w:rsid w:val="00A065AE"/>
    <w:rsid w:val="00A07187"/>
    <w:rsid w:val="00A071E5"/>
    <w:rsid w:val="00A10031"/>
    <w:rsid w:val="00A107EE"/>
    <w:rsid w:val="00A118E1"/>
    <w:rsid w:val="00A1209A"/>
    <w:rsid w:val="00A12FE5"/>
    <w:rsid w:val="00A13A13"/>
    <w:rsid w:val="00A142E0"/>
    <w:rsid w:val="00A14C42"/>
    <w:rsid w:val="00A14D40"/>
    <w:rsid w:val="00A1575C"/>
    <w:rsid w:val="00A15A9B"/>
    <w:rsid w:val="00A16294"/>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A7D"/>
    <w:rsid w:val="00A3493B"/>
    <w:rsid w:val="00A349E6"/>
    <w:rsid w:val="00A34AB0"/>
    <w:rsid w:val="00A359A9"/>
    <w:rsid w:val="00A36541"/>
    <w:rsid w:val="00A40227"/>
    <w:rsid w:val="00A40E01"/>
    <w:rsid w:val="00A4171B"/>
    <w:rsid w:val="00A4307B"/>
    <w:rsid w:val="00A439F1"/>
    <w:rsid w:val="00A43F57"/>
    <w:rsid w:val="00A452A4"/>
    <w:rsid w:val="00A454EB"/>
    <w:rsid w:val="00A45ABB"/>
    <w:rsid w:val="00A46203"/>
    <w:rsid w:val="00A4639E"/>
    <w:rsid w:val="00A466FC"/>
    <w:rsid w:val="00A46A0D"/>
    <w:rsid w:val="00A46C62"/>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B5"/>
    <w:rsid w:val="00A54471"/>
    <w:rsid w:val="00A54F4E"/>
    <w:rsid w:val="00A5592F"/>
    <w:rsid w:val="00A55D1A"/>
    <w:rsid w:val="00A55D30"/>
    <w:rsid w:val="00A5711C"/>
    <w:rsid w:val="00A57834"/>
    <w:rsid w:val="00A60A02"/>
    <w:rsid w:val="00A60EDB"/>
    <w:rsid w:val="00A612D1"/>
    <w:rsid w:val="00A6147B"/>
    <w:rsid w:val="00A630DE"/>
    <w:rsid w:val="00A6316D"/>
    <w:rsid w:val="00A63F0A"/>
    <w:rsid w:val="00A641E4"/>
    <w:rsid w:val="00A6458B"/>
    <w:rsid w:val="00A64C66"/>
    <w:rsid w:val="00A6548F"/>
    <w:rsid w:val="00A655AE"/>
    <w:rsid w:val="00A65A8E"/>
    <w:rsid w:val="00A6633E"/>
    <w:rsid w:val="00A67D68"/>
    <w:rsid w:val="00A70DDB"/>
    <w:rsid w:val="00A71AFD"/>
    <w:rsid w:val="00A72295"/>
    <w:rsid w:val="00A72D1C"/>
    <w:rsid w:val="00A72E57"/>
    <w:rsid w:val="00A73042"/>
    <w:rsid w:val="00A7382C"/>
    <w:rsid w:val="00A738A6"/>
    <w:rsid w:val="00A738BC"/>
    <w:rsid w:val="00A74284"/>
    <w:rsid w:val="00A74BDC"/>
    <w:rsid w:val="00A74C53"/>
    <w:rsid w:val="00A74EBA"/>
    <w:rsid w:val="00A74F8A"/>
    <w:rsid w:val="00A768B5"/>
    <w:rsid w:val="00A769DE"/>
    <w:rsid w:val="00A76A0B"/>
    <w:rsid w:val="00A774B2"/>
    <w:rsid w:val="00A77B1B"/>
    <w:rsid w:val="00A8025E"/>
    <w:rsid w:val="00A81F18"/>
    <w:rsid w:val="00A8240F"/>
    <w:rsid w:val="00A830EA"/>
    <w:rsid w:val="00A83B05"/>
    <w:rsid w:val="00A85244"/>
    <w:rsid w:val="00A854EF"/>
    <w:rsid w:val="00A860F6"/>
    <w:rsid w:val="00A86A82"/>
    <w:rsid w:val="00A8748B"/>
    <w:rsid w:val="00A90025"/>
    <w:rsid w:val="00A90C07"/>
    <w:rsid w:val="00A91294"/>
    <w:rsid w:val="00A91BF8"/>
    <w:rsid w:val="00A91C99"/>
    <w:rsid w:val="00A926A1"/>
    <w:rsid w:val="00A92A27"/>
    <w:rsid w:val="00A938E6"/>
    <w:rsid w:val="00A93B97"/>
    <w:rsid w:val="00A93C08"/>
    <w:rsid w:val="00A94545"/>
    <w:rsid w:val="00A94EB2"/>
    <w:rsid w:val="00A957EE"/>
    <w:rsid w:val="00A95937"/>
    <w:rsid w:val="00A96E8B"/>
    <w:rsid w:val="00A97090"/>
    <w:rsid w:val="00A9773C"/>
    <w:rsid w:val="00A97B18"/>
    <w:rsid w:val="00AA0AFC"/>
    <w:rsid w:val="00AA1324"/>
    <w:rsid w:val="00AA1440"/>
    <w:rsid w:val="00AA18CB"/>
    <w:rsid w:val="00AA1ACE"/>
    <w:rsid w:val="00AA2FB7"/>
    <w:rsid w:val="00AA33A6"/>
    <w:rsid w:val="00AA3683"/>
    <w:rsid w:val="00AA447E"/>
    <w:rsid w:val="00AA48EE"/>
    <w:rsid w:val="00AA4F56"/>
    <w:rsid w:val="00AA5470"/>
    <w:rsid w:val="00AA57A4"/>
    <w:rsid w:val="00AA5E1B"/>
    <w:rsid w:val="00AA66C7"/>
    <w:rsid w:val="00AA7819"/>
    <w:rsid w:val="00AA7FA4"/>
    <w:rsid w:val="00AB0E52"/>
    <w:rsid w:val="00AB179E"/>
    <w:rsid w:val="00AB1A65"/>
    <w:rsid w:val="00AB2574"/>
    <w:rsid w:val="00AB2697"/>
    <w:rsid w:val="00AB2CEF"/>
    <w:rsid w:val="00AB4757"/>
    <w:rsid w:val="00AB5E9A"/>
    <w:rsid w:val="00AB6FE9"/>
    <w:rsid w:val="00AB7102"/>
    <w:rsid w:val="00AB7DB8"/>
    <w:rsid w:val="00AB7F17"/>
    <w:rsid w:val="00AC0215"/>
    <w:rsid w:val="00AC02C1"/>
    <w:rsid w:val="00AC0865"/>
    <w:rsid w:val="00AC0AB6"/>
    <w:rsid w:val="00AC0BFD"/>
    <w:rsid w:val="00AC0EA9"/>
    <w:rsid w:val="00AC147D"/>
    <w:rsid w:val="00AC17FE"/>
    <w:rsid w:val="00AC18C3"/>
    <w:rsid w:val="00AC3555"/>
    <w:rsid w:val="00AC3A25"/>
    <w:rsid w:val="00AC3E39"/>
    <w:rsid w:val="00AC410B"/>
    <w:rsid w:val="00AC4685"/>
    <w:rsid w:val="00AC5561"/>
    <w:rsid w:val="00AC6511"/>
    <w:rsid w:val="00AC6650"/>
    <w:rsid w:val="00AC67AA"/>
    <w:rsid w:val="00AC6C3E"/>
    <w:rsid w:val="00AC6F30"/>
    <w:rsid w:val="00AC7B39"/>
    <w:rsid w:val="00AC7DED"/>
    <w:rsid w:val="00AD1FE1"/>
    <w:rsid w:val="00AD27A7"/>
    <w:rsid w:val="00AD32C0"/>
    <w:rsid w:val="00AD3848"/>
    <w:rsid w:val="00AD3990"/>
    <w:rsid w:val="00AD3CAD"/>
    <w:rsid w:val="00AD413D"/>
    <w:rsid w:val="00AD5069"/>
    <w:rsid w:val="00AD54AB"/>
    <w:rsid w:val="00AD54B8"/>
    <w:rsid w:val="00AD7971"/>
    <w:rsid w:val="00AD7ADD"/>
    <w:rsid w:val="00AE009E"/>
    <w:rsid w:val="00AE06ED"/>
    <w:rsid w:val="00AE1792"/>
    <w:rsid w:val="00AE2112"/>
    <w:rsid w:val="00AE2F67"/>
    <w:rsid w:val="00AE2F7E"/>
    <w:rsid w:val="00AE3775"/>
    <w:rsid w:val="00AE3FBF"/>
    <w:rsid w:val="00AE42C8"/>
    <w:rsid w:val="00AE43D7"/>
    <w:rsid w:val="00AE4914"/>
    <w:rsid w:val="00AE4DC1"/>
    <w:rsid w:val="00AE516B"/>
    <w:rsid w:val="00AE5E52"/>
    <w:rsid w:val="00AE5F5C"/>
    <w:rsid w:val="00AE6B28"/>
    <w:rsid w:val="00AE732B"/>
    <w:rsid w:val="00AE776C"/>
    <w:rsid w:val="00AE7A30"/>
    <w:rsid w:val="00AF1890"/>
    <w:rsid w:val="00AF2095"/>
    <w:rsid w:val="00AF26F1"/>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949"/>
    <w:rsid w:val="00B02D45"/>
    <w:rsid w:val="00B037B6"/>
    <w:rsid w:val="00B03816"/>
    <w:rsid w:val="00B04B60"/>
    <w:rsid w:val="00B059DE"/>
    <w:rsid w:val="00B05B2B"/>
    <w:rsid w:val="00B078B4"/>
    <w:rsid w:val="00B109C2"/>
    <w:rsid w:val="00B10DFE"/>
    <w:rsid w:val="00B1240F"/>
    <w:rsid w:val="00B1244A"/>
    <w:rsid w:val="00B12790"/>
    <w:rsid w:val="00B13051"/>
    <w:rsid w:val="00B130E0"/>
    <w:rsid w:val="00B1344F"/>
    <w:rsid w:val="00B135A5"/>
    <w:rsid w:val="00B13721"/>
    <w:rsid w:val="00B13900"/>
    <w:rsid w:val="00B13989"/>
    <w:rsid w:val="00B14131"/>
    <w:rsid w:val="00B148C6"/>
    <w:rsid w:val="00B14DF2"/>
    <w:rsid w:val="00B1513F"/>
    <w:rsid w:val="00B15573"/>
    <w:rsid w:val="00B160BC"/>
    <w:rsid w:val="00B16D14"/>
    <w:rsid w:val="00B1703B"/>
    <w:rsid w:val="00B20A13"/>
    <w:rsid w:val="00B20E92"/>
    <w:rsid w:val="00B20EFF"/>
    <w:rsid w:val="00B2136C"/>
    <w:rsid w:val="00B215E5"/>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6BF"/>
    <w:rsid w:val="00B3470B"/>
    <w:rsid w:val="00B3505E"/>
    <w:rsid w:val="00B36FD9"/>
    <w:rsid w:val="00B3749F"/>
    <w:rsid w:val="00B375FC"/>
    <w:rsid w:val="00B4038D"/>
    <w:rsid w:val="00B41222"/>
    <w:rsid w:val="00B41444"/>
    <w:rsid w:val="00B415CA"/>
    <w:rsid w:val="00B41DAE"/>
    <w:rsid w:val="00B4235B"/>
    <w:rsid w:val="00B42793"/>
    <w:rsid w:val="00B42877"/>
    <w:rsid w:val="00B42D99"/>
    <w:rsid w:val="00B44A37"/>
    <w:rsid w:val="00B45355"/>
    <w:rsid w:val="00B46640"/>
    <w:rsid w:val="00B46916"/>
    <w:rsid w:val="00B50D62"/>
    <w:rsid w:val="00B51741"/>
    <w:rsid w:val="00B5213A"/>
    <w:rsid w:val="00B53D99"/>
    <w:rsid w:val="00B54668"/>
    <w:rsid w:val="00B54D86"/>
    <w:rsid w:val="00B54FEC"/>
    <w:rsid w:val="00B5515C"/>
    <w:rsid w:val="00B55201"/>
    <w:rsid w:val="00B55771"/>
    <w:rsid w:val="00B559CA"/>
    <w:rsid w:val="00B55CF0"/>
    <w:rsid w:val="00B562FE"/>
    <w:rsid w:val="00B56309"/>
    <w:rsid w:val="00B56DDA"/>
    <w:rsid w:val="00B5733E"/>
    <w:rsid w:val="00B57F55"/>
    <w:rsid w:val="00B60272"/>
    <w:rsid w:val="00B61405"/>
    <w:rsid w:val="00B63337"/>
    <w:rsid w:val="00B63CE0"/>
    <w:rsid w:val="00B645CE"/>
    <w:rsid w:val="00B6508F"/>
    <w:rsid w:val="00B65209"/>
    <w:rsid w:val="00B66996"/>
    <w:rsid w:val="00B669BE"/>
    <w:rsid w:val="00B66D8E"/>
    <w:rsid w:val="00B66DAD"/>
    <w:rsid w:val="00B6767E"/>
    <w:rsid w:val="00B67DC2"/>
    <w:rsid w:val="00B71208"/>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979"/>
    <w:rsid w:val="00B76ADB"/>
    <w:rsid w:val="00B76F58"/>
    <w:rsid w:val="00B77258"/>
    <w:rsid w:val="00B77D35"/>
    <w:rsid w:val="00B805A2"/>
    <w:rsid w:val="00B80672"/>
    <w:rsid w:val="00B81B02"/>
    <w:rsid w:val="00B82613"/>
    <w:rsid w:val="00B829BB"/>
    <w:rsid w:val="00B833BE"/>
    <w:rsid w:val="00B83AD7"/>
    <w:rsid w:val="00B84437"/>
    <w:rsid w:val="00B84B49"/>
    <w:rsid w:val="00B85395"/>
    <w:rsid w:val="00B870D1"/>
    <w:rsid w:val="00B87458"/>
    <w:rsid w:val="00B87519"/>
    <w:rsid w:val="00B87BA3"/>
    <w:rsid w:val="00B91105"/>
    <w:rsid w:val="00B924F6"/>
    <w:rsid w:val="00B92668"/>
    <w:rsid w:val="00B92D60"/>
    <w:rsid w:val="00B93008"/>
    <w:rsid w:val="00B94E0E"/>
    <w:rsid w:val="00B95E6A"/>
    <w:rsid w:val="00B95EF4"/>
    <w:rsid w:val="00B9665D"/>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89D"/>
    <w:rsid w:val="00BA7C92"/>
    <w:rsid w:val="00BA7D5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5AB2"/>
    <w:rsid w:val="00BB6149"/>
    <w:rsid w:val="00BB6651"/>
    <w:rsid w:val="00BB69BC"/>
    <w:rsid w:val="00BB6ACC"/>
    <w:rsid w:val="00BB6FFD"/>
    <w:rsid w:val="00BB72ED"/>
    <w:rsid w:val="00BB7500"/>
    <w:rsid w:val="00BB7BBD"/>
    <w:rsid w:val="00BB7D17"/>
    <w:rsid w:val="00BC0A46"/>
    <w:rsid w:val="00BC0DF0"/>
    <w:rsid w:val="00BC1461"/>
    <w:rsid w:val="00BC2050"/>
    <w:rsid w:val="00BC2D01"/>
    <w:rsid w:val="00BC2E00"/>
    <w:rsid w:val="00BC358C"/>
    <w:rsid w:val="00BC3858"/>
    <w:rsid w:val="00BC3F8C"/>
    <w:rsid w:val="00BC45A6"/>
    <w:rsid w:val="00BC4BCF"/>
    <w:rsid w:val="00BC5599"/>
    <w:rsid w:val="00BC6A39"/>
    <w:rsid w:val="00BC6FEE"/>
    <w:rsid w:val="00BC76E8"/>
    <w:rsid w:val="00BC7AB7"/>
    <w:rsid w:val="00BD0858"/>
    <w:rsid w:val="00BD088E"/>
    <w:rsid w:val="00BD09BE"/>
    <w:rsid w:val="00BD1281"/>
    <w:rsid w:val="00BD1EF4"/>
    <w:rsid w:val="00BD333C"/>
    <w:rsid w:val="00BD337C"/>
    <w:rsid w:val="00BD3451"/>
    <w:rsid w:val="00BD3AE1"/>
    <w:rsid w:val="00BD3EC0"/>
    <w:rsid w:val="00BD423F"/>
    <w:rsid w:val="00BD4A29"/>
    <w:rsid w:val="00BD4C57"/>
    <w:rsid w:val="00BD4FAC"/>
    <w:rsid w:val="00BD51DE"/>
    <w:rsid w:val="00BD6A1D"/>
    <w:rsid w:val="00BE02B4"/>
    <w:rsid w:val="00BE03D6"/>
    <w:rsid w:val="00BE04FE"/>
    <w:rsid w:val="00BE05B6"/>
    <w:rsid w:val="00BE1000"/>
    <w:rsid w:val="00BE12DF"/>
    <w:rsid w:val="00BE1D80"/>
    <w:rsid w:val="00BE1F1E"/>
    <w:rsid w:val="00BE2220"/>
    <w:rsid w:val="00BE2C45"/>
    <w:rsid w:val="00BE3594"/>
    <w:rsid w:val="00BE372B"/>
    <w:rsid w:val="00BE3F4B"/>
    <w:rsid w:val="00BE5567"/>
    <w:rsid w:val="00BE57CB"/>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23C3"/>
    <w:rsid w:val="00C1241F"/>
    <w:rsid w:val="00C1274B"/>
    <w:rsid w:val="00C13014"/>
    <w:rsid w:val="00C135E3"/>
    <w:rsid w:val="00C13D66"/>
    <w:rsid w:val="00C14541"/>
    <w:rsid w:val="00C14773"/>
    <w:rsid w:val="00C1478B"/>
    <w:rsid w:val="00C150C6"/>
    <w:rsid w:val="00C15EDB"/>
    <w:rsid w:val="00C1675B"/>
    <w:rsid w:val="00C16C4F"/>
    <w:rsid w:val="00C16CA0"/>
    <w:rsid w:val="00C20531"/>
    <w:rsid w:val="00C21B63"/>
    <w:rsid w:val="00C223EF"/>
    <w:rsid w:val="00C2253B"/>
    <w:rsid w:val="00C2255D"/>
    <w:rsid w:val="00C22B9D"/>
    <w:rsid w:val="00C25681"/>
    <w:rsid w:val="00C26CD4"/>
    <w:rsid w:val="00C275B1"/>
    <w:rsid w:val="00C31852"/>
    <w:rsid w:val="00C3187D"/>
    <w:rsid w:val="00C328B1"/>
    <w:rsid w:val="00C32C8F"/>
    <w:rsid w:val="00C32CA6"/>
    <w:rsid w:val="00C34991"/>
    <w:rsid w:val="00C34C35"/>
    <w:rsid w:val="00C34DC6"/>
    <w:rsid w:val="00C35C47"/>
    <w:rsid w:val="00C361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DCE"/>
    <w:rsid w:val="00C46D6A"/>
    <w:rsid w:val="00C47466"/>
    <w:rsid w:val="00C47944"/>
    <w:rsid w:val="00C47AC8"/>
    <w:rsid w:val="00C47E13"/>
    <w:rsid w:val="00C5011A"/>
    <w:rsid w:val="00C507C9"/>
    <w:rsid w:val="00C50DF6"/>
    <w:rsid w:val="00C5117A"/>
    <w:rsid w:val="00C51760"/>
    <w:rsid w:val="00C51916"/>
    <w:rsid w:val="00C52410"/>
    <w:rsid w:val="00C525B3"/>
    <w:rsid w:val="00C52652"/>
    <w:rsid w:val="00C53372"/>
    <w:rsid w:val="00C5531A"/>
    <w:rsid w:val="00C55384"/>
    <w:rsid w:val="00C57751"/>
    <w:rsid w:val="00C6225A"/>
    <w:rsid w:val="00C63B22"/>
    <w:rsid w:val="00C649D5"/>
    <w:rsid w:val="00C657AE"/>
    <w:rsid w:val="00C65AFB"/>
    <w:rsid w:val="00C65BD3"/>
    <w:rsid w:val="00C66225"/>
    <w:rsid w:val="00C66542"/>
    <w:rsid w:val="00C6716C"/>
    <w:rsid w:val="00C7068B"/>
    <w:rsid w:val="00C70759"/>
    <w:rsid w:val="00C715A0"/>
    <w:rsid w:val="00C716DC"/>
    <w:rsid w:val="00C73517"/>
    <w:rsid w:val="00C74A03"/>
    <w:rsid w:val="00C74CA9"/>
    <w:rsid w:val="00C74E21"/>
    <w:rsid w:val="00C7534C"/>
    <w:rsid w:val="00C754AD"/>
    <w:rsid w:val="00C75B9E"/>
    <w:rsid w:val="00C75BF4"/>
    <w:rsid w:val="00C75D45"/>
    <w:rsid w:val="00C763C4"/>
    <w:rsid w:val="00C766C4"/>
    <w:rsid w:val="00C76A5B"/>
    <w:rsid w:val="00C801BE"/>
    <w:rsid w:val="00C8048E"/>
    <w:rsid w:val="00C81058"/>
    <w:rsid w:val="00C818EB"/>
    <w:rsid w:val="00C81BA7"/>
    <w:rsid w:val="00C824DF"/>
    <w:rsid w:val="00C826BB"/>
    <w:rsid w:val="00C82B81"/>
    <w:rsid w:val="00C82D6B"/>
    <w:rsid w:val="00C833BE"/>
    <w:rsid w:val="00C8386A"/>
    <w:rsid w:val="00C83964"/>
    <w:rsid w:val="00C83AC3"/>
    <w:rsid w:val="00C83AEE"/>
    <w:rsid w:val="00C83C62"/>
    <w:rsid w:val="00C8439A"/>
    <w:rsid w:val="00C861AC"/>
    <w:rsid w:val="00C86255"/>
    <w:rsid w:val="00C8712C"/>
    <w:rsid w:val="00C87AC4"/>
    <w:rsid w:val="00C90EE5"/>
    <w:rsid w:val="00C91A44"/>
    <w:rsid w:val="00C92461"/>
    <w:rsid w:val="00C92603"/>
    <w:rsid w:val="00C929B5"/>
    <w:rsid w:val="00C92B57"/>
    <w:rsid w:val="00C931EC"/>
    <w:rsid w:val="00C93FE5"/>
    <w:rsid w:val="00C940EF"/>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722"/>
    <w:rsid w:val="00CA483A"/>
    <w:rsid w:val="00CA4C7F"/>
    <w:rsid w:val="00CA5568"/>
    <w:rsid w:val="00CA5583"/>
    <w:rsid w:val="00CA66A8"/>
    <w:rsid w:val="00CA79B4"/>
    <w:rsid w:val="00CA7E2D"/>
    <w:rsid w:val="00CB02D2"/>
    <w:rsid w:val="00CB02FC"/>
    <w:rsid w:val="00CB04B7"/>
    <w:rsid w:val="00CB08E5"/>
    <w:rsid w:val="00CB09DA"/>
    <w:rsid w:val="00CB0E54"/>
    <w:rsid w:val="00CB0FDB"/>
    <w:rsid w:val="00CB1068"/>
    <w:rsid w:val="00CB12DE"/>
    <w:rsid w:val="00CB1319"/>
    <w:rsid w:val="00CB1797"/>
    <w:rsid w:val="00CB1CB8"/>
    <w:rsid w:val="00CB1E74"/>
    <w:rsid w:val="00CB2150"/>
    <w:rsid w:val="00CB2326"/>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6167"/>
    <w:rsid w:val="00CC6E7A"/>
    <w:rsid w:val="00CD003E"/>
    <w:rsid w:val="00CD005E"/>
    <w:rsid w:val="00CD124D"/>
    <w:rsid w:val="00CD177D"/>
    <w:rsid w:val="00CD259E"/>
    <w:rsid w:val="00CD2AD8"/>
    <w:rsid w:val="00CD35E6"/>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2455"/>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1A81"/>
    <w:rsid w:val="00D02C40"/>
    <w:rsid w:val="00D03718"/>
    <w:rsid w:val="00D03A33"/>
    <w:rsid w:val="00D03A8A"/>
    <w:rsid w:val="00D050B0"/>
    <w:rsid w:val="00D059D8"/>
    <w:rsid w:val="00D05DF8"/>
    <w:rsid w:val="00D05E4F"/>
    <w:rsid w:val="00D064E8"/>
    <w:rsid w:val="00D06708"/>
    <w:rsid w:val="00D06AE8"/>
    <w:rsid w:val="00D07822"/>
    <w:rsid w:val="00D07CAE"/>
    <w:rsid w:val="00D07F0C"/>
    <w:rsid w:val="00D10390"/>
    <w:rsid w:val="00D109D9"/>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D3D"/>
    <w:rsid w:val="00D24EFF"/>
    <w:rsid w:val="00D250DC"/>
    <w:rsid w:val="00D252AD"/>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4066"/>
    <w:rsid w:val="00D340FC"/>
    <w:rsid w:val="00D35D5A"/>
    <w:rsid w:val="00D3626A"/>
    <w:rsid w:val="00D37E2C"/>
    <w:rsid w:val="00D40835"/>
    <w:rsid w:val="00D41ADD"/>
    <w:rsid w:val="00D433D2"/>
    <w:rsid w:val="00D44018"/>
    <w:rsid w:val="00D440BD"/>
    <w:rsid w:val="00D44806"/>
    <w:rsid w:val="00D45567"/>
    <w:rsid w:val="00D458B4"/>
    <w:rsid w:val="00D46997"/>
    <w:rsid w:val="00D46C97"/>
    <w:rsid w:val="00D4746F"/>
    <w:rsid w:val="00D4758C"/>
    <w:rsid w:val="00D4778C"/>
    <w:rsid w:val="00D478EF"/>
    <w:rsid w:val="00D47A8D"/>
    <w:rsid w:val="00D47C16"/>
    <w:rsid w:val="00D50245"/>
    <w:rsid w:val="00D50248"/>
    <w:rsid w:val="00D50C12"/>
    <w:rsid w:val="00D51749"/>
    <w:rsid w:val="00D5181B"/>
    <w:rsid w:val="00D5183D"/>
    <w:rsid w:val="00D51BC1"/>
    <w:rsid w:val="00D53232"/>
    <w:rsid w:val="00D532B1"/>
    <w:rsid w:val="00D539E6"/>
    <w:rsid w:val="00D5577E"/>
    <w:rsid w:val="00D5724D"/>
    <w:rsid w:val="00D574BF"/>
    <w:rsid w:val="00D5790C"/>
    <w:rsid w:val="00D60B9E"/>
    <w:rsid w:val="00D60BA3"/>
    <w:rsid w:val="00D6196C"/>
    <w:rsid w:val="00D61E61"/>
    <w:rsid w:val="00D62439"/>
    <w:rsid w:val="00D62D0A"/>
    <w:rsid w:val="00D631A5"/>
    <w:rsid w:val="00D63597"/>
    <w:rsid w:val="00D641BC"/>
    <w:rsid w:val="00D6443E"/>
    <w:rsid w:val="00D64472"/>
    <w:rsid w:val="00D6530B"/>
    <w:rsid w:val="00D653DA"/>
    <w:rsid w:val="00D655F5"/>
    <w:rsid w:val="00D66089"/>
    <w:rsid w:val="00D70107"/>
    <w:rsid w:val="00D701D6"/>
    <w:rsid w:val="00D7085E"/>
    <w:rsid w:val="00D70B9C"/>
    <w:rsid w:val="00D7181F"/>
    <w:rsid w:val="00D719F1"/>
    <w:rsid w:val="00D72111"/>
    <w:rsid w:val="00D72D63"/>
    <w:rsid w:val="00D7334A"/>
    <w:rsid w:val="00D74499"/>
    <w:rsid w:val="00D745B1"/>
    <w:rsid w:val="00D74C1B"/>
    <w:rsid w:val="00D75B47"/>
    <w:rsid w:val="00D76220"/>
    <w:rsid w:val="00D764D3"/>
    <w:rsid w:val="00D7781B"/>
    <w:rsid w:val="00D77B7B"/>
    <w:rsid w:val="00D77F62"/>
    <w:rsid w:val="00D80274"/>
    <w:rsid w:val="00D8028B"/>
    <w:rsid w:val="00D81603"/>
    <w:rsid w:val="00D819D5"/>
    <w:rsid w:val="00D819F7"/>
    <w:rsid w:val="00D81E6F"/>
    <w:rsid w:val="00D8375C"/>
    <w:rsid w:val="00D83EB8"/>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6EB"/>
    <w:rsid w:val="00D975EB"/>
    <w:rsid w:val="00D97EE0"/>
    <w:rsid w:val="00DA0E18"/>
    <w:rsid w:val="00DA1378"/>
    <w:rsid w:val="00DA2642"/>
    <w:rsid w:val="00DA3695"/>
    <w:rsid w:val="00DA44F0"/>
    <w:rsid w:val="00DA4D0A"/>
    <w:rsid w:val="00DA5323"/>
    <w:rsid w:val="00DA6405"/>
    <w:rsid w:val="00DA6FA3"/>
    <w:rsid w:val="00DA75E5"/>
    <w:rsid w:val="00DB0137"/>
    <w:rsid w:val="00DB0363"/>
    <w:rsid w:val="00DB08C6"/>
    <w:rsid w:val="00DB1971"/>
    <w:rsid w:val="00DB1D8E"/>
    <w:rsid w:val="00DB335A"/>
    <w:rsid w:val="00DB351A"/>
    <w:rsid w:val="00DB3A47"/>
    <w:rsid w:val="00DB3D92"/>
    <w:rsid w:val="00DB449C"/>
    <w:rsid w:val="00DB47E8"/>
    <w:rsid w:val="00DB4B88"/>
    <w:rsid w:val="00DB5ECC"/>
    <w:rsid w:val="00DB6D3F"/>
    <w:rsid w:val="00DB7730"/>
    <w:rsid w:val="00DC0A03"/>
    <w:rsid w:val="00DC0CBA"/>
    <w:rsid w:val="00DC0F03"/>
    <w:rsid w:val="00DC20CE"/>
    <w:rsid w:val="00DC20E3"/>
    <w:rsid w:val="00DC222C"/>
    <w:rsid w:val="00DC248C"/>
    <w:rsid w:val="00DC27ED"/>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5D"/>
    <w:rsid w:val="00DD208B"/>
    <w:rsid w:val="00DD229E"/>
    <w:rsid w:val="00DD2FF4"/>
    <w:rsid w:val="00DD30EC"/>
    <w:rsid w:val="00DD3C41"/>
    <w:rsid w:val="00DD4D8F"/>
    <w:rsid w:val="00DD55E0"/>
    <w:rsid w:val="00DD5E0A"/>
    <w:rsid w:val="00DD5FAA"/>
    <w:rsid w:val="00DD603D"/>
    <w:rsid w:val="00DE0D05"/>
    <w:rsid w:val="00DE1FBC"/>
    <w:rsid w:val="00DE22B5"/>
    <w:rsid w:val="00DE25C6"/>
    <w:rsid w:val="00DE26D0"/>
    <w:rsid w:val="00DE33A0"/>
    <w:rsid w:val="00DE3669"/>
    <w:rsid w:val="00DE3C97"/>
    <w:rsid w:val="00DE3DBB"/>
    <w:rsid w:val="00DE46AC"/>
    <w:rsid w:val="00DE4AF9"/>
    <w:rsid w:val="00DE544A"/>
    <w:rsid w:val="00DE77F5"/>
    <w:rsid w:val="00DE7C46"/>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487"/>
    <w:rsid w:val="00E03EBD"/>
    <w:rsid w:val="00E04778"/>
    <w:rsid w:val="00E04F40"/>
    <w:rsid w:val="00E053E3"/>
    <w:rsid w:val="00E0576C"/>
    <w:rsid w:val="00E05CAD"/>
    <w:rsid w:val="00E074BE"/>
    <w:rsid w:val="00E100B8"/>
    <w:rsid w:val="00E11788"/>
    <w:rsid w:val="00E11882"/>
    <w:rsid w:val="00E1359E"/>
    <w:rsid w:val="00E13A07"/>
    <w:rsid w:val="00E13CA8"/>
    <w:rsid w:val="00E13CB7"/>
    <w:rsid w:val="00E142A4"/>
    <w:rsid w:val="00E155C9"/>
    <w:rsid w:val="00E1576F"/>
    <w:rsid w:val="00E15A59"/>
    <w:rsid w:val="00E1650E"/>
    <w:rsid w:val="00E1683E"/>
    <w:rsid w:val="00E16A48"/>
    <w:rsid w:val="00E16D35"/>
    <w:rsid w:val="00E173C0"/>
    <w:rsid w:val="00E17BC3"/>
    <w:rsid w:val="00E21064"/>
    <w:rsid w:val="00E212E9"/>
    <w:rsid w:val="00E21526"/>
    <w:rsid w:val="00E21B33"/>
    <w:rsid w:val="00E23DD2"/>
    <w:rsid w:val="00E24656"/>
    <w:rsid w:val="00E251EC"/>
    <w:rsid w:val="00E257A7"/>
    <w:rsid w:val="00E26244"/>
    <w:rsid w:val="00E26DB9"/>
    <w:rsid w:val="00E27222"/>
    <w:rsid w:val="00E27FC2"/>
    <w:rsid w:val="00E30565"/>
    <w:rsid w:val="00E308C5"/>
    <w:rsid w:val="00E309DF"/>
    <w:rsid w:val="00E30BDE"/>
    <w:rsid w:val="00E31F13"/>
    <w:rsid w:val="00E32470"/>
    <w:rsid w:val="00E32958"/>
    <w:rsid w:val="00E329BB"/>
    <w:rsid w:val="00E34118"/>
    <w:rsid w:val="00E34F76"/>
    <w:rsid w:val="00E35875"/>
    <w:rsid w:val="00E359F4"/>
    <w:rsid w:val="00E35C04"/>
    <w:rsid w:val="00E36207"/>
    <w:rsid w:val="00E36798"/>
    <w:rsid w:val="00E36A29"/>
    <w:rsid w:val="00E36DD8"/>
    <w:rsid w:val="00E3712F"/>
    <w:rsid w:val="00E37E19"/>
    <w:rsid w:val="00E40057"/>
    <w:rsid w:val="00E4060A"/>
    <w:rsid w:val="00E40D62"/>
    <w:rsid w:val="00E41083"/>
    <w:rsid w:val="00E41430"/>
    <w:rsid w:val="00E43B5F"/>
    <w:rsid w:val="00E43F8E"/>
    <w:rsid w:val="00E44D5C"/>
    <w:rsid w:val="00E45FB6"/>
    <w:rsid w:val="00E46037"/>
    <w:rsid w:val="00E464DA"/>
    <w:rsid w:val="00E4675F"/>
    <w:rsid w:val="00E469DD"/>
    <w:rsid w:val="00E47226"/>
    <w:rsid w:val="00E5039C"/>
    <w:rsid w:val="00E506A0"/>
    <w:rsid w:val="00E50BBA"/>
    <w:rsid w:val="00E5120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5B52"/>
    <w:rsid w:val="00E66098"/>
    <w:rsid w:val="00E6686F"/>
    <w:rsid w:val="00E674C4"/>
    <w:rsid w:val="00E675D3"/>
    <w:rsid w:val="00E67C1A"/>
    <w:rsid w:val="00E71E56"/>
    <w:rsid w:val="00E723A7"/>
    <w:rsid w:val="00E7338E"/>
    <w:rsid w:val="00E73EAD"/>
    <w:rsid w:val="00E74212"/>
    <w:rsid w:val="00E744E6"/>
    <w:rsid w:val="00E748A8"/>
    <w:rsid w:val="00E74DCB"/>
    <w:rsid w:val="00E74FAF"/>
    <w:rsid w:val="00E762A1"/>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B8A"/>
    <w:rsid w:val="00E91C1D"/>
    <w:rsid w:val="00E925A5"/>
    <w:rsid w:val="00E92C32"/>
    <w:rsid w:val="00E93647"/>
    <w:rsid w:val="00E93A02"/>
    <w:rsid w:val="00E93C02"/>
    <w:rsid w:val="00E943FF"/>
    <w:rsid w:val="00E946A6"/>
    <w:rsid w:val="00E94C64"/>
    <w:rsid w:val="00E954EC"/>
    <w:rsid w:val="00E9575B"/>
    <w:rsid w:val="00E95E3B"/>
    <w:rsid w:val="00E96745"/>
    <w:rsid w:val="00E9707C"/>
    <w:rsid w:val="00E97137"/>
    <w:rsid w:val="00E97D4F"/>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3773"/>
    <w:rsid w:val="00EB3D4B"/>
    <w:rsid w:val="00EB3F39"/>
    <w:rsid w:val="00EB584A"/>
    <w:rsid w:val="00EB5AE2"/>
    <w:rsid w:val="00EB6399"/>
    <w:rsid w:val="00EB728A"/>
    <w:rsid w:val="00EB763C"/>
    <w:rsid w:val="00EC1BA5"/>
    <w:rsid w:val="00EC1E9A"/>
    <w:rsid w:val="00EC2192"/>
    <w:rsid w:val="00EC43ED"/>
    <w:rsid w:val="00EC4932"/>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EEB"/>
    <w:rsid w:val="00ED52EE"/>
    <w:rsid w:val="00ED598F"/>
    <w:rsid w:val="00ED735D"/>
    <w:rsid w:val="00ED75FA"/>
    <w:rsid w:val="00EE0891"/>
    <w:rsid w:val="00EE1325"/>
    <w:rsid w:val="00EE1329"/>
    <w:rsid w:val="00EE182A"/>
    <w:rsid w:val="00EE1E49"/>
    <w:rsid w:val="00EE1E51"/>
    <w:rsid w:val="00EE413F"/>
    <w:rsid w:val="00EE4732"/>
    <w:rsid w:val="00EE5925"/>
    <w:rsid w:val="00EE640B"/>
    <w:rsid w:val="00EE675E"/>
    <w:rsid w:val="00EE76A9"/>
    <w:rsid w:val="00EE79A3"/>
    <w:rsid w:val="00EE7B9D"/>
    <w:rsid w:val="00EE7C27"/>
    <w:rsid w:val="00EE7FA7"/>
    <w:rsid w:val="00EF0631"/>
    <w:rsid w:val="00EF0930"/>
    <w:rsid w:val="00EF0BCA"/>
    <w:rsid w:val="00EF1682"/>
    <w:rsid w:val="00EF1DDD"/>
    <w:rsid w:val="00EF21C3"/>
    <w:rsid w:val="00EF28FE"/>
    <w:rsid w:val="00EF36C6"/>
    <w:rsid w:val="00EF3F2E"/>
    <w:rsid w:val="00EF4108"/>
    <w:rsid w:val="00EF43A6"/>
    <w:rsid w:val="00EF4414"/>
    <w:rsid w:val="00EF44AC"/>
    <w:rsid w:val="00EF4694"/>
    <w:rsid w:val="00EF51F9"/>
    <w:rsid w:val="00EF560E"/>
    <w:rsid w:val="00EF5E46"/>
    <w:rsid w:val="00EF5FE4"/>
    <w:rsid w:val="00EF6523"/>
    <w:rsid w:val="00EF667A"/>
    <w:rsid w:val="00EF69F9"/>
    <w:rsid w:val="00EF7502"/>
    <w:rsid w:val="00F01C15"/>
    <w:rsid w:val="00F02218"/>
    <w:rsid w:val="00F0264D"/>
    <w:rsid w:val="00F036D7"/>
    <w:rsid w:val="00F04563"/>
    <w:rsid w:val="00F0670C"/>
    <w:rsid w:val="00F07253"/>
    <w:rsid w:val="00F073BA"/>
    <w:rsid w:val="00F0756C"/>
    <w:rsid w:val="00F07A62"/>
    <w:rsid w:val="00F07A7D"/>
    <w:rsid w:val="00F07B59"/>
    <w:rsid w:val="00F10410"/>
    <w:rsid w:val="00F10E9A"/>
    <w:rsid w:val="00F113C1"/>
    <w:rsid w:val="00F11CCC"/>
    <w:rsid w:val="00F11E56"/>
    <w:rsid w:val="00F11EFC"/>
    <w:rsid w:val="00F12765"/>
    <w:rsid w:val="00F129F0"/>
    <w:rsid w:val="00F12B76"/>
    <w:rsid w:val="00F12F14"/>
    <w:rsid w:val="00F14A1A"/>
    <w:rsid w:val="00F15774"/>
    <w:rsid w:val="00F162CB"/>
    <w:rsid w:val="00F17208"/>
    <w:rsid w:val="00F174DB"/>
    <w:rsid w:val="00F17E89"/>
    <w:rsid w:val="00F21126"/>
    <w:rsid w:val="00F21801"/>
    <w:rsid w:val="00F21F00"/>
    <w:rsid w:val="00F22353"/>
    <w:rsid w:val="00F23E98"/>
    <w:rsid w:val="00F24293"/>
    <w:rsid w:val="00F24732"/>
    <w:rsid w:val="00F24E08"/>
    <w:rsid w:val="00F274EE"/>
    <w:rsid w:val="00F27AF8"/>
    <w:rsid w:val="00F27B45"/>
    <w:rsid w:val="00F27DFB"/>
    <w:rsid w:val="00F306D6"/>
    <w:rsid w:val="00F3182D"/>
    <w:rsid w:val="00F318F3"/>
    <w:rsid w:val="00F320B0"/>
    <w:rsid w:val="00F326B2"/>
    <w:rsid w:val="00F357EE"/>
    <w:rsid w:val="00F360E9"/>
    <w:rsid w:val="00F41DEF"/>
    <w:rsid w:val="00F429B6"/>
    <w:rsid w:val="00F42DFF"/>
    <w:rsid w:val="00F436DB"/>
    <w:rsid w:val="00F44F4F"/>
    <w:rsid w:val="00F45040"/>
    <w:rsid w:val="00F45117"/>
    <w:rsid w:val="00F45732"/>
    <w:rsid w:val="00F45B7D"/>
    <w:rsid w:val="00F4767F"/>
    <w:rsid w:val="00F47F85"/>
    <w:rsid w:val="00F505D7"/>
    <w:rsid w:val="00F514B0"/>
    <w:rsid w:val="00F520BC"/>
    <w:rsid w:val="00F532E8"/>
    <w:rsid w:val="00F5351E"/>
    <w:rsid w:val="00F541DD"/>
    <w:rsid w:val="00F5433D"/>
    <w:rsid w:val="00F54E01"/>
    <w:rsid w:val="00F55290"/>
    <w:rsid w:val="00F55466"/>
    <w:rsid w:val="00F55682"/>
    <w:rsid w:val="00F55C13"/>
    <w:rsid w:val="00F55CF6"/>
    <w:rsid w:val="00F570E9"/>
    <w:rsid w:val="00F57D1E"/>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19CA"/>
    <w:rsid w:val="00F72BAF"/>
    <w:rsid w:val="00F73782"/>
    <w:rsid w:val="00F744C7"/>
    <w:rsid w:val="00F747CF"/>
    <w:rsid w:val="00F74EB5"/>
    <w:rsid w:val="00F76C9A"/>
    <w:rsid w:val="00F77622"/>
    <w:rsid w:val="00F803D4"/>
    <w:rsid w:val="00F80605"/>
    <w:rsid w:val="00F8305A"/>
    <w:rsid w:val="00F840AA"/>
    <w:rsid w:val="00F8415A"/>
    <w:rsid w:val="00F8449B"/>
    <w:rsid w:val="00F84A73"/>
    <w:rsid w:val="00F859BE"/>
    <w:rsid w:val="00F85B56"/>
    <w:rsid w:val="00F85F8C"/>
    <w:rsid w:val="00F860F5"/>
    <w:rsid w:val="00F8626B"/>
    <w:rsid w:val="00F863E2"/>
    <w:rsid w:val="00F86745"/>
    <w:rsid w:val="00F8680B"/>
    <w:rsid w:val="00F86A4B"/>
    <w:rsid w:val="00F8730F"/>
    <w:rsid w:val="00F8735D"/>
    <w:rsid w:val="00F87C0E"/>
    <w:rsid w:val="00F9063A"/>
    <w:rsid w:val="00F90A62"/>
    <w:rsid w:val="00F91321"/>
    <w:rsid w:val="00F92443"/>
    <w:rsid w:val="00F9282A"/>
    <w:rsid w:val="00F94182"/>
    <w:rsid w:val="00F9443F"/>
    <w:rsid w:val="00F94559"/>
    <w:rsid w:val="00F94CBE"/>
    <w:rsid w:val="00F95061"/>
    <w:rsid w:val="00F95166"/>
    <w:rsid w:val="00F952B4"/>
    <w:rsid w:val="00F95F6B"/>
    <w:rsid w:val="00F9606B"/>
    <w:rsid w:val="00F96550"/>
    <w:rsid w:val="00F9657A"/>
    <w:rsid w:val="00F96E5C"/>
    <w:rsid w:val="00F97311"/>
    <w:rsid w:val="00FA0072"/>
    <w:rsid w:val="00FA042F"/>
    <w:rsid w:val="00FA093F"/>
    <w:rsid w:val="00FA1E4D"/>
    <w:rsid w:val="00FA2DCA"/>
    <w:rsid w:val="00FA3278"/>
    <w:rsid w:val="00FA3428"/>
    <w:rsid w:val="00FA381E"/>
    <w:rsid w:val="00FA3AEF"/>
    <w:rsid w:val="00FA3F46"/>
    <w:rsid w:val="00FA3FAB"/>
    <w:rsid w:val="00FA432C"/>
    <w:rsid w:val="00FA4E8F"/>
    <w:rsid w:val="00FA5531"/>
    <w:rsid w:val="00FA5545"/>
    <w:rsid w:val="00FA5566"/>
    <w:rsid w:val="00FA60FC"/>
    <w:rsid w:val="00FA64DB"/>
    <w:rsid w:val="00FA6554"/>
    <w:rsid w:val="00FA6E7F"/>
    <w:rsid w:val="00FA6F24"/>
    <w:rsid w:val="00FA7114"/>
    <w:rsid w:val="00FA756C"/>
    <w:rsid w:val="00FA7771"/>
    <w:rsid w:val="00FA7F43"/>
    <w:rsid w:val="00FA7FE5"/>
    <w:rsid w:val="00FB0442"/>
    <w:rsid w:val="00FB0AA8"/>
    <w:rsid w:val="00FB0CB7"/>
    <w:rsid w:val="00FB1451"/>
    <w:rsid w:val="00FB16F6"/>
    <w:rsid w:val="00FB1CFD"/>
    <w:rsid w:val="00FB1FC6"/>
    <w:rsid w:val="00FB2056"/>
    <w:rsid w:val="00FB2379"/>
    <w:rsid w:val="00FB2492"/>
    <w:rsid w:val="00FB27CB"/>
    <w:rsid w:val="00FB2A46"/>
    <w:rsid w:val="00FB30EB"/>
    <w:rsid w:val="00FB334E"/>
    <w:rsid w:val="00FB4F3C"/>
    <w:rsid w:val="00FB5081"/>
    <w:rsid w:val="00FB5159"/>
    <w:rsid w:val="00FB6001"/>
    <w:rsid w:val="00FB6659"/>
    <w:rsid w:val="00FB6714"/>
    <w:rsid w:val="00FC0687"/>
    <w:rsid w:val="00FC0E66"/>
    <w:rsid w:val="00FC1C03"/>
    <w:rsid w:val="00FC1EEE"/>
    <w:rsid w:val="00FC2F6F"/>
    <w:rsid w:val="00FC396F"/>
    <w:rsid w:val="00FC3AEE"/>
    <w:rsid w:val="00FC3FFB"/>
    <w:rsid w:val="00FC4453"/>
    <w:rsid w:val="00FC44B4"/>
    <w:rsid w:val="00FC4B60"/>
    <w:rsid w:val="00FC5DD9"/>
    <w:rsid w:val="00FD0411"/>
    <w:rsid w:val="00FD06C1"/>
    <w:rsid w:val="00FD0A05"/>
    <w:rsid w:val="00FD175D"/>
    <w:rsid w:val="00FD27CB"/>
    <w:rsid w:val="00FD3CFA"/>
    <w:rsid w:val="00FD3FE1"/>
    <w:rsid w:val="00FD4D36"/>
    <w:rsid w:val="00FD69BA"/>
    <w:rsid w:val="00FD6C26"/>
    <w:rsid w:val="00FD7526"/>
    <w:rsid w:val="00FE002E"/>
    <w:rsid w:val="00FE0886"/>
    <w:rsid w:val="00FE089B"/>
    <w:rsid w:val="00FE0CF3"/>
    <w:rsid w:val="00FE150F"/>
    <w:rsid w:val="00FE1BD1"/>
    <w:rsid w:val="00FE1DE3"/>
    <w:rsid w:val="00FE2291"/>
    <w:rsid w:val="00FE2DD8"/>
    <w:rsid w:val="00FE4CD0"/>
    <w:rsid w:val="00FE6B28"/>
    <w:rsid w:val="00FE78AD"/>
    <w:rsid w:val="00FE7B8E"/>
    <w:rsid w:val="00FE7C7C"/>
    <w:rsid w:val="00FF076B"/>
    <w:rsid w:val="00FF16F2"/>
    <w:rsid w:val="00FF173D"/>
    <w:rsid w:val="00FF201A"/>
    <w:rsid w:val="00FF2CDC"/>
    <w:rsid w:val="00FF450D"/>
    <w:rsid w:val="00FF453D"/>
    <w:rsid w:val="00FF50A6"/>
    <w:rsid w:val="00FF5B07"/>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200F5B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19EE"/>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1119E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119EE"/>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24"/>
      </w:numPr>
      <w:autoSpaceDE w:val="0"/>
      <w:autoSpaceDN w:val="0"/>
      <w:spacing w:after="0" w:line="240" w:lineRule="auto"/>
      <w:jc w:val="both"/>
    </w:pPr>
    <w:rPr>
      <w:rFonts w:ascii="Times New Roman" w:eastAsia="SimSun" w:hAnsi="Times New Roman" w:cs="Times New Roman"/>
      <w:sz w:val="16"/>
      <w:szCs w:val="16"/>
    </w:rPr>
  </w:style>
  <w:style w:type="table" w:styleId="PlainTable1">
    <w:name w:val="Plain Table 1"/>
    <w:basedOn w:val="TableNormal"/>
    <w:uiPriority w:val="41"/>
    <w:rsid w:val="000B64B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0B64B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3261716">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0375328">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13720258">
      <w:bodyDiv w:val="1"/>
      <w:marLeft w:val="0"/>
      <w:marRight w:val="0"/>
      <w:marTop w:val="0"/>
      <w:marBottom w:val="0"/>
      <w:divBdr>
        <w:top w:val="none" w:sz="0" w:space="0" w:color="auto"/>
        <w:left w:val="none" w:sz="0" w:space="0" w:color="auto"/>
        <w:bottom w:val="none" w:sz="0" w:space="0" w:color="auto"/>
        <w:right w:val="none" w:sz="0" w:space="0" w:color="auto"/>
      </w:divBdr>
    </w:div>
    <w:div w:id="122968584">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24529351">
      <w:bodyDiv w:val="1"/>
      <w:marLeft w:val="0"/>
      <w:marRight w:val="0"/>
      <w:marTop w:val="0"/>
      <w:marBottom w:val="0"/>
      <w:divBdr>
        <w:top w:val="none" w:sz="0" w:space="0" w:color="auto"/>
        <w:left w:val="none" w:sz="0" w:space="0" w:color="auto"/>
        <w:bottom w:val="none" w:sz="0" w:space="0" w:color="auto"/>
        <w:right w:val="none" w:sz="0" w:space="0" w:color="auto"/>
      </w:divBdr>
    </w:div>
    <w:div w:id="256446254">
      <w:bodyDiv w:val="1"/>
      <w:marLeft w:val="0"/>
      <w:marRight w:val="0"/>
      <w:marTop w:val="0"/>
      <w:marBottom w:val="0"/>
      <w:divBdr>
        <w:top w:val="none" w:sz="0" w:space="0" w:color="auto"/>
        <w:left w:val="none" w:sz="0" w:space="0" w:color="auto"/>
        <w:bottom w:val="none" w:sz="0" w:space="0" w:color="auto"/>
        <w:right w:val="none" w:sz="0" w:space="0" w:color="auto"/>
      </w:divBdr>
    </w:div>
    <w:div w:id="278338315">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15185619">
      <w:bodyDiv w:val="1"/>
      <w:marLeft w:val="0"/>
      <w:marRight w:val="0"/>
      <w:marTop w:val="0"/>
      <w:marBottom w:val="0"/>
      <w:divBdr>
        <w:top w:val="none" w:sz="0" w:space="0" w:color="auto"/>
        <w:left w:val="none" w:sz="0" w:space="0" w:color="auto"/>
        <w:bottom w:val="none" w:sz="0" w:space="0" w:color="auto"/>
        <w:right w:val="none" w:sz="0" w:space="0" w:color="auto"/>
      </w:divBdr>
    </w:div>
    <w:div w:id="317349524">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646982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05567532">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1173439">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99993084">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57659081">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28647190">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0454176">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1950338">
      <w:bodyDiv w:val="1"/>
      <w:marLeft w:val="0"/>
      <w:marRight w:val="0"/>
      <w:marTop w:val="0"/>
      <w:marBottom w:val="0"/>
      <w:divBdr>
        <w:top w:val="none" w:sz="0" w:space="0" w:color="auto"/>
        <w:left w:val="none" w:sz="0" w:space="0" w:color="auto"/>
        <w:bottom w:val="none" w:sz="0" w:space="0" w:color="auto"/>
        <w:right w:val="none" w:sz="0" w:space="0" w:color="auto"/>
      </w:divBdr>
    </w:div>
    <w:div w:id="1091391788">
      <w:bodyDiv w:val="1"/>
      <w:marLeft w:val="0"/>
      <w:marRight w:val="0"/>
      <w:marTop w:val="0"/>
      <w:marBottom w:val="0"/>
      <w:divBdr>
        <w:top w:val="none" w:sz="0" w:space="0" w:color="auto"/>
        <w:left w:val="none" w:sz="0" w:space="0" w:color="auto"/>
        <w:bottom w:val="none" w:sz="0" w:space="0" w:color="auto"/>
        <w:right w:val="none" w:sz="0" w:space="0" w:color="auto"/>
      </w:divBdr>
    </w:div>
    <w:div w:id="1092318298">
      <w:bodyDiv w:val="1"/>
      <w:marLeft w:val="0"/>
      <w:marRight w:val="0"/>
      <w:marTop w:val="0"/>
      <w:marBottom w:val="0"/>
      <w:divBdr>
        <w:top w:val="none" w:sz="0" w:space="0" w:color="auto"/>
        <w:left w:val="none" w:sz="0" w:space="0" w:color="auto"/>
        <w:bottom w:val="none" w:sz="0" w:space="0" w:color="auto"/>
        <w:right w:val="none" w:sz="0" w:space="0" w:color="auto"/>
      </w:divBdr>
    </w:div>
    <w:div w:id="1104301383">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977970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7376665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2329953">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15144841">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0302213">
      <w:bodyDiv w:val="1"/>
      <w:marLeft w:val="0"/>
      <w:marRight w:val="0"/>
      <w:marTop w:val="0"/>
      <w:marBottom w:val="0"/>
      <w:divBdr>
        <w:top w:val="none" w:sz="0" w:space="0" w:color="auto"/>
        <w:left w:val="none" w:sz="0" w:space="0" w:color="auto"/>
        <w:bottom w:val="none" w:sz="0" w:space="0" w:color="auto"/>
        <w:right w:val="none" w:sz="0" w:space="0" w:color="auto"/>
      </w:divBdr>
    </w:div>
    <w:div w:id="1765420739">
      <w:bodyDiv w:val="1"/>
      <w:marLeft w:val="0"/>
      <w:marRight w:val="0"/>
      <w:marTop w:val="0"/>
      <w:marBottom w:val="0"/>
      <w:divBdr>
        <w:top w:val="none" w:sz="0" w:space="0" w:color="auto"/>
        <w:left w:val="none" w:sz="0" w:space="0" w:color="auto"/>
        <w:bottom w:val="none" w:sz="0" w:space="0" w:color="auto"/>
        <w:right w:val="none" w:sz="0" w:space="0" w:color="auto"/>
      </w:divBdr>
    </w:div>
    <w:div w:id="1787311053">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2572637">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7177979">
      <w:bodyDiv w:val="1"/>
      <w:marLeft w:val="0"/>
      <w:marRight w:val="0"/>
      <w:marTop w:val="0"/>
      <w:marBottom w:val="0"/>
      <w:divBdr>
        <w:top w:val="none" w:sz="0" w:space="0" w:color="auto"/>
        <w:left w:val="none" w:sz="0" w:space="0" w:color="auto"/>
        <w:bottom w:val="none" w:sz="0" w:space="0" w:color="auto"/>
        <w:right w:val="none" w:sz="0" w:space="0" w:color="auto"/>
      </w:divBdr>
    </w:div>
    <w:div w:id="1955405750">
      <w:bodyDiv w:val="1"/>
      <w:marLeft w:val="0"/>
      <w:marRight w:val="0"/>
      <w:marTop w:val="0"/>
      <w:marBottom w:val="0"/>
      <w:divBdr>
        <w:top w:val="none" w:sz="0" w:space="0" w:color="auto"/>
        <w:left w:val="none" w:sz="0" w:space="0" w:color="auto"/>
        <w:bottom w:val="none" w:sz="0" w:space="0" w:color="auto"/>
        <w:right w:val="none" w:sz="0" w:space="0" w:color="auto"/>
      </w:divBdr>
    </w:div>
    <w:div w:id="2004969066">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hart" Target="charts/chart2.xml"/><Relationship Id="rId18"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chart" Target="charts/chart1.xml"/><Relationship Id="rId17" Type="http://schemas.openxmlformats.org/officeDocument/2006/relationships/chart" Target="charts/chart6.xml"/><Relationship Id="rId2" Type="http://schemas.openxmlformats.org/officeDocument/2006/relationships/customXml" Target="../customXml/item2.xml"/><Relationship Id="rId16" Type="http://schemas.openxmlformats.org/officeDocument/2006/relationships/chart" Target="charts/chart5.xml"/><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chart" Target="charts/chart4.xml"/><Relationship Id="rId10" Type="http://schemas.openxmlformats.org/officeDocument/2006/relationships/footnotes" Target="footnote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hart" Target="charts/chart3.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D:\userdata\Ran1\86bis\Effective%20code%20rate.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userdata\Ran1\86bis\Effective%20code%20rate.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D:\userdata\Ran1\86bis\Effective%20code%20rate.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D:\userdata\Ran1\86bis\Effective%20code%20rate.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D:\userdata\Ran1\86bis\Effective%20code%20rate.xlsx" TargetMode="External"/><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sz="1000"/>
              <a:t>Effective code rate for different CRC bits</a:t>
            </a:r>
          </a:p>
        </c:rich>
      </c:tx>
      <c:layout>
        <c:manualLayout>
          <c:xMode val="edge"/>
          <c:yMode val="edge"/>
          <c:x val="0.26588079292308575"/>
          <c:y val="1.6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2852435753681157"/>
          <c:y val="0.10989627065703805"/>
          <c:w val="0.76243641921421179"/>
          <c:h val="0.73247926917952311"/>
        </c:manualLayout>
      </c:layout>
      <c:lineChart>
        <c:grouping val="standard"/>
        <c:varyColors val="0"/>
        <c:ser>
          <c:idx val="0"/>
          <c:order val="0"/>
          <c:tx>
            <c:strRef>
              <c:f>'URLLC 13'!$C$21</c:f>
              <c:strCache>
                <c:ptCount val="1"/>
                <c:pt idx="0">
                  <c:v>6</c:v>
                </c:pt>
              </c:strCache>
            </c:strRef>
          </c:tx>
          <c:spPr>
            <a:ln w="28575" cap="rnd">
              <a:solidFill>
                <a:schemeClr val="accent1"/>
              </a:solidFill>
              <a:round/>
            </a:ln>
            <a:effectLst/>
          </c:spPr>
          <c:marker>
            <c:symbol val="none"/>
          </c:marker>
          <c:cat>
            <c:numRef>
              <c:f>'URLLC 13'!$B$22:$B$30</c:f>
              <c:numCache>
                <c:formatCode>General</c:formatCode>
                <c:ptCount val="9"/>
                <c:pt idx="0">
                  <c:v>20</c:v>
                </c:pt>
                <c:pt idx="1">
                  <c:v>40</c:v>
                </c:pt>
                <c:pt idx="2">
                  <c:v>100</c:v>
                </c:pt>
                <c:pt idx="3">
                  <c:v>200</c:v>
                </c:pt>
                <c:pt idx="4">
                  <c:v>300</c:v>
                </c:pt>
                <c:pt idx="5">
                  <c:v>400</c:v>
                </c:pt>
                <c:pt idx="6">
                  <c:v>600</c:v>
                </c:pt>
                <c:pt idx="7">
                  <c:v>800</c:v>
                </c:pt>
                <c:pt idx="8">
                  <c:v>1000</c:v>
                </c:pt>
              </c:numCache>
            </c:numRef>
          </c:cat>
          <c:val>
            <c:numRef>
              <c:f>'URLLC 13'!$C$22:$C$30</c:f>
              <c:numCache>
                <c:formatCode>General</c:formatCode>
                <c:ptCount val="9"/>
                <c:pt idx="0">
                  <c:v>0.43333333333333335</c:v>
                </c:pt>
                <c:pt idx="1">
                  <c:v>0.38333333333333336</c:v>
                </c:pt>
                <c:pt idx="2">
                  <c:v>0.35333333333333333</c:v>
                </c:pt>
                <c:pt idx="3">
                  <c:v>0.34333333333333332</c:v>
                </c:pt>
                <c:pt idx="4">
                  <c:v>0.34</c:v>
                </c:pt>
                <c:pt idx="5">
                  <c:v>0.33833333333333332</c:v>
                </c:pt>
                <c:pt idx="6">
                  <c:v>0.33666666666666667</c:v>
                </c:pt>
                <c:pt idx="7">
                  <c:v>0.33583333333333332</c:v>
                </c:pt>
                <c:pt idx="8">
                  <c:v>0.33533333333333332</c:v>
                </c:pt>
              </c:numCache>
            </c:numRef>
          </c:val>
          <c:smooth val="0"/>
        </c:ser>
        <c:ser>
          <c:idx val="1"/>
          <c:order val="1"/>
          <c:tx>
            <c:strRef>
              <c:f>'URLLC 13'!$D$21</c:f>
              <c:strCache>
                <c:ptCount val="1"/>
                <c:pt idx="0">
                  <c:v>8</c:v>
                </c:pt>
              </c:strCache>
            </c:strRef>
          </c:tx>
          <c:spPr>
            <a:ln w="28575" cap="rnd">
              <a:solidFill>
                <a:schemeClr val="accent2"/>
              </a:solidFill>
              <a:round/>
            </a:ln>
            <a:effectLst/>
          </c:spPr>
          <c:marker>
            <c:symbol val="none"/>
          </c:marker>
          <c:val>
            <c:numRef>
              <c:f>'URLLC 13'!$D$22:$D$30</c:f>
              <c:numCache>
                <c:formatCode>General</c:formatCode>
                <c:ptCount val="9"/>
                <c:pt idx="0">
                  <c:v>0.46666666666666667</c:v>
                </c:pt>
                <c:pt idx="1">
                  <c:v>0.4</c:v>
                </c:pt>
                <c:pt idx="2">
                  <c:v>0.36</c:v>
                </c:pt>
                <c:pt idx="3">
                  <c:v>0.34666666666666668</c:v>
                </c:pt>
                <c:pt idx="4">
                  <c:v>0.34222222222222221</c:v>
                </c:pt>
                <c:pt idx="5">
                  <c:v>0.34</c:v>
                </c:pt>
                <c:pt idx="6">
                  <c:v>0.33777777777777779</c:v>
                </c:pt>
                <c:pt idx="7">
                  <c:v>0.33666666666666667</c:v>
                </c:pt>
                <c:pt idx="8">
                  <c:v>0.33600000000000002</c:v>
                </c:pt>
              </c:numCache>
            </c:numRef>
          </c:val>
          <c:smooth val="0"/>
        </c:ser>
        <c:ser>
          <c:idx val="2"/>
          <c:order val="2"/>
          <c:tx>
            <c:strRef>
              <c:f>'URLLC 13'!$E$21</c:f>
              <c:strCache>
                <c:ptCount val="1"/>
                <c:pt idx="0">
                  <c:v>10</c:v>
                </c:pt>
              </c:strCache>
            </c:strRef>
          </c:tx>
          <c:spPr>
            <a:ln w="28575" cap="rnd">
              <a:solidFill>
                <a:schemeClr val="accent3"/>
              </a:solidFill>
              <a:round/>
            </a:ln>
            <a:effectLst/>
          </c:spPr>
          <c:marker>
            <c:symbol val="none"/>
          </c:marker>
          <c:val>
            <c:numRef>
              <c:f>'URLLC 13'!$E$22:$E$30</c:f>
              <c:numCache>
                <c:formatCode>General</c:formatCode>
                <c:ptCount val="9"/>
                <c:pt idx="0">
                  <c:v>0.5</c:v>
                </c:pt>
                <c:pt idx="1">
                  <c:v>0.41666666666666669</c:v>
                </c:pt>
                <c:pt idx="2">
                  <c:v>0.36666666666666664</c:v>
                </c:pt>
                <c:pt idx="3">
                  <c:v>0.35</c:v>
                </c:pt>
                <c:pt idx="4">
                  <c:v>0.34444444444444444</c:v>
                </c:pt>
                <c:pt idx="5">
                  <c:v>0.34166666666666667</c:v>
                </c:pt>
                <c:pt idx="6">
                  <c:v>0.33888888888888891</c:v>
                </c:pt>
                <c:pt idx="7">
                  <c:v>0.33750000000000002</c:v>
                </c:pt>
                <c:pt idx="8">
                  <c:v>0.33666666666666667</c:v>
                </c:pt>
              </c:numCache>
            </c:numRef>
          </c:val>
          <c:smooth val="0"/>
        </c:ser>
        <c:ser>
          <c:idx val="3"/>
          <c:order val="3"/>
          <c:tx>
            <c:strRef>
              <c:f>'URLLC 13'!$F$21</c:f>
              <c:strCache>
                <c:ptCount val="1"/>
                <c:pt idx="0">
                  <c:v>12</c:v>
                </c:pt>
              </c:strCache>
            </c:strRef>
          </c:tx>
          <c:spPr>
            <a:ln w="28575" cap="rnd">
              <a:solidFill>
                <a:schemeClr val="accent4"/>
              </a:solidFill>
              <a:round/>
            </a:ln>
            <a:effectLst/>
          </c:spPr>
          <c:marker>
            <c:symbol val="none"/>
          </c:marker>
          <c:val>
            <c:numRef>
              <c:f>'URLLC 13'!$F$22:$F$30</c:f>
              <c:numCache>
                <c:formatCode>General</c:formatCode>
                <c:ptCount val="9"/>
                <c:pt idx="0">
                  <c:v>0.53333333333333333</c:v>
                </c:pt>
                <c:pt idx="1">
                  <c:v>0.43333333333333335</c:v>
                </c:pt>
                <c:pt idx="2">
                  <c:v>0.37333333333333335</c:v>
                </c:pt>
                <c:pt idx="3">
                  <c:v>0.35333333333333333</c:v>
                </c:pt>
                <c:pt idx="4">
                  <c:v>0.34666666666666668</c:v>
                </c:pt>
                <c:pt idx="5">
                  <c:v>0.34333333333333332</c:v>
                </c:pt>
                <c:pt idx="6">
                  <c:v>0.34</c:v>
                </c:pt>
                <c:pt idx="7">
                  <c:v>0.33833333333333332</c:v>
                </c:pt>
                <c:pt idx="8">
                  <c:v>0.33733333333333332</c:v>
                </c:pt>
              </c:numCache>
            </c:numRef>
          </c:val>
          <c:smooth val="0"/>
        </c:ser>
        <c:ser>
          <c:idx val="4"/>
          <c:order val="4"/>
          <c:tx>
            <c:strRef>
              <c:f>'URLLC 13'!$G$21</c:f>
              <c:strCache>
                <c:ptCount val="1"/>
                <c:pt idx="0">
                  <c:v>16</c:v>
                </c:pt>
              </c:strCache>
            </c:strRef>
          </c:tx>
          <c:spPr>
            <a:ln w="28575" cap="rnd">
              <a:solidFill>
                <a:schemeClr val="accent5"/>
              </a:solidFill>
              <a:round/>
            </a:ln>
            <a:effectLst/>
          </c:spPr>
          <c:marker>
            <c:symbol val="none"/>
          </c:marker>
          <c:val>
            <c:numRef>
              <c:f>'URLLC 13'!$G$22:$G$30</c:f>
              <c:numCache>
                <c:formatCode>General</c:formatCode>
                <c:ptCount val="9"/>
                <c:pt idx="0">
                  <c:v>0.6</c:v>
                </c:pt>
                <c:pt idx="1">
                  <c:v>0.46666666666666667</c:v>
                </c:pt>
                <c:pt idx="2">
                  <c:v>0.38666666666666666</c:v>
                </c:pt>
                <c:pt idx="3">
                  <c:v>0.36</c:v>
                </c:pt>
                <c:pt idx="4">
                  <c:v>0.3511111111111111</c:v>
                </c:pt>
                <c:pt idx="5">
                  <c:v>0.34666666666666668</c:v>
                </c:pt>
                <c:pt idx="6">
                  <c:v>0.34222222222222221</c:v>
                </c:pt>
                <c:pt idx="7">
                  <c:v>0.34</c:v>
                </c:pt>
                <c:pt idx="8">
                  <c:v>0.33866666666666667</c:v>
                </c:pt>
              </c:numCache>
            </c:numRef>
          </c:val>
          <c:smooth val="0"/>
        </c:ser>
        <c:dLbls>
          <c:showLegendKey val="0"/>
          <c:showVal val="0"/>
          <c:showCatName val="0"/>
          <c:showSerName val="0"/>
          <c:showPercent val="0"/>
          <c:showBubbleSize val="0"/>
        </c:dLbls>
        <c:smooth val="0"/>
        <c:axId val="324169208"/>
        <c:axId val="324168816"/>
      </c:lineChart>
      <c:catAx>
        <c:axId val="324169208"/>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Info block length</a:t>
                </a:r>
              </a:p>
            </c:rich>
          </c:tx>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24168816"/>
        <c:crosses val="autoZero"/>
        <c:auto val="0"/>
        <c:lblAlgn val="ctr"/>
        <c:lblOffset val="100"/>
        <c:noMultiLvlLbl val="0"/>
      </c:catAx>
      <c:valAx>
        <c:axId val="324168816"/>
        <c:scaling>
          <c:orientation val="minMax"/>
          <c:min val="0.28000000000000003"/>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Code</a:t>
                </a:r>
                <a:r>
                  <a:rPr lang="en-GB" baseline="0"/>
                  <a:t> Rate</a:t>
                </a:r>
                <a:endParaRPr lang="en-GB"/>
              </a:p>
            </c:rich>
          </c:tx>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24169208"/>
        <c:crosses val="autoZero"/>
        <c:crossBetween val="between"/>
      </c:valAx>
      <c:spPr>
        <a:noFill/>
        <a:ln>
          <a:solidFill>
            <a:schemeClr val="tx1"/>
          </a:solidFill>
        </a:ln>
        <a:effectLst/>
      </c:spPr>
    </c:plotArea>
    <c:legend>
      <c:legendPos val="r"/>
      <c:layout>
        <c:manualLayout>
          <c:xMode val="edge"/>
          <c:yMode val="edge"/>
          <c:x val="0.88848935283332209"/>
          <c:y val="0.33661397804281645"/>
          <c:w val="9.6682103660470725E-2"/>
          <c:h val="0.29503874015748033"/>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GB" sz="1000"/>
              <a:t>Effective code rate for different CRC bits</a:t>
            </a:r>
          </a:p>
        </c:rich>
      </c:tx>
      <c:layout/>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2852435753681157"/>
          <c:y val="0.10989627065703805"/>
          <c:w val="0.76243641921421179"/>
          <c:h val="0.73247926917952311"/>
        </c:manualLayout>
      </c:layout>
      <c:lineChart>
        <c:grouping val="standard"/>
        <c:varyColors val="0"/>
        <c:ser>
          <c:idx val="0"/>
          <c:order val="0"/>
          <c:tx>
            <c:strRef>
              <c:f>'URLLC 13'!$L$21</c:f>
              <c:strCache>
                <c:ptCount val="1"/>
                <c:pt idx="0">
                  <c:v>6</c:v>
                </c:pt>
              </c:strCache>
            </c:strRef>
          </c:tx>
          <c:spPr>
            <a:ln w="28575" cap="rnd">
              <a:solidFill>
                <a:schemeClr val="accent1"/>
              </a:solidFill>
              <a:round/>
            </a:ln>
            <a:effectLst/>
          </c:spPr>
          <c:marker>
            <c:symbol val="none"/>
          </c:marker>
          <c:cat>
            <c:numRef>
              <c:f>'URLLC 13'!$K$22:$K$30</c:f>
              <c:numCache>
                <c:formatCode>General</c:formatCode>
                <c:ptCount val="9"/>
                <c:pt idx="0">
                  <c:v>20</c:v>
                </c:pt>
                <c:pt idx="1">
                  <c:v>40</c:v>
                </c:pt>
                <c:pt idx="2">
                  <c:v>100</c:v>
                </c:pt>
                <c:pt idx="3">
                  <c:v>200</c:v>
                </c:pt>
                <c:pt idx="4">
                  <c:v>300</c:v>
                </c:pt>
                <c:pt idx="5">
                  <c:v>400</c:v>
                </c:pt>
                <c:pt idx="6">
                  <c:v>600</c:v>
                </c:pt>
                <c:pt idx="7">
                  <c:v>800</c:v>
                </c:pt>
                <c:pt idx="8">
                  <c:v>1000</c:v>
                </c:pt>
              </c:numCache>
            </c:numRef>
          </c:cat>
          <c:val>
            <c:numRef>
              <c:f>'URLLC 13'!$L$22:$L$30</c:f>
              <c:numCache>
                <c:formatCode>General</c:formatCode>
                <c:ptCount val="9"/>
                <c:pt idx="0">
                  <c:v>0.21666666666666667</c:v>
                </c:pt>
                <c:pt idx="1">
                  <c:v>0.19166666666666668</c:v>
                </c:pt>
                <c:pt idx="2">
                  <c:v>0.17666666666666667</c:v>
                </c:pt>
                <c:pt idx="3">
                  <c:v>0.17166666666666666</c:v>
                </c:pt>
                <c:pt idx="4">
                  <c:v>0.17</c:v>
                </c:pt>
                <c:pt idx="5">
                  <c:v>0.16916666666666666</c:v>
                </c:pt>
                <c:pt idx="6">
                  <c:v>0.16833333333333333</c:v>
                </c:pt>
                <c:pt idx="7">
                  <c:v>0.16791666666666666</c:v>
                </c:pt>
                <c:pt idx="8">
                  <c:v>0.16766666666666666</c:v>
                </c:pt>
              </c:numCache>
            </c:numRef>
          </c:val>
          <c:smooth val="0"/>
        </c:ser>
        <c:ser>
          <c:idx val="1"/>
          <c:order val="1"/>
          <c:tx>
            <c:strRef>
              <c:f>'URLLC 13'!$M$21</c:f>
              <c:strCache>
                <c:ptCount val="1"/>
                <c:pt idx="0">
                  <c:v>8</c:v>
                </c:pt>
              </c:strCache>
            </c:strRef>
          </c:tx>
          <c:spPr>
            <a:ln w="28575" cap="rnd">
              <a:solidFill>
                <a:schemeClr val="accent2"/>
              </a:solidFill>
              <a:round/>
            </a:ln>
            <a:effectLst/>
          </c:spPr>
          <c:marker>
            <c:symbol val="none"/>
          </c:marker>
          <c:cat>
            <c:numRef>
              <c:f>'URLLC 13'!$K$22:$K$30</c:f>
              <c:numCache>
                <c:formatCode>General</c:formatCode>
                <c:ptCount val="9"/>
                <c:pt idx="0">
                  <c:v>20</c:v>
                </c:pt>
                <c:pt idx="1">
                  <c:v>40</c:v>
                </c:pt>
                <c:pt idx="2">
                  <c:v>100</c:v>
                </c:pt>
                <c:pt idx="3">
                  <c:v>200</c:v>
                </c:pt>
                <c:pt idx="4">
                  <c:v>300</c:v>
                </c:pt>
                <c:pt idx="5">
                  <c:v>400</c:v>
                </c:pt>
                <c:pt idx="6">
                  <c:v>600</c:v>
                </c:pt>
                <c:pt idx="7">
                  <c:v>800</c:v>
                </c:pt>
                <c:pt idx="8">
                  <c:v>1000</c:v>
                </c:pt>
              </c:numCache>
            </c:numRef>
          </c:cat>
          <c:val>
            <c:numRef>
              <c:f>'URLLC 13'!$M$22:$M$30</c:f>
              <c:numCache>
                <c:formatCode>General</c:formatCode>
                <c:ptCount val="9"/>
                <c:pt idx="0">
                  <c:v>0.23333333333333334</c:v>
                </c:pt>
                <c:pt idx="1">
                  <c:v>0.2</c:v>
                </c:pt>
                <c:pt idx="2">
                  <c:v>0.18</c:v>
                </c:pt>
                <c:pt idx="3">
                  <c:v>0.17333333333333334</c:v>
                </c:pt>
                <c:pt idx="4">
                  <c:v>0.1711111111111111</c:v>
                </c:pt>
                <c:pt idx="5">
                  <c:v>0.17</c:v>
                </c:pt>
                <c:pt idx="6">
                  <c:v>0.16888888888888889</c:v>
                </c:pt>
                <c:pt idx="7">
                  <c:v>0.16833333333333333</c:v>
                </c:pt>
                <c:pt idx="8">
                  <c:v>0.16800000000000001</c:v>
                </c:pt>
              </c:numCache>
            </c:numRef>
          </c:val>
          <c:smooth val="0"/>
        </c:ser>
        <c:ser>
          <c:idx val="2"/>
          <c:order val="2"/>
          <c:tx>
            <c:strRef>
              <c:f>'URLLC 13'!$N$21</c:f>
              <c:strCache>
                <c:ptCount val="1"/>
                <c:pt idx="0">
                  <c:v>10</c:v>
                </c:pt>
              </c:strCache>
            </c:strRef>
          </c:tx>
          <c:spPr>
            <a:ln w="28575" cap="rnd">
              <a:solidFill>
                <a:schemeClr val="accent3"/>
              </a:solidFill>
              <a:round/>
            </a:ln>
            <a:effectLst/>
          </c:spPr>
          <c:marker>
            <c:symbol val="none"/>
          </c:marker>
          <c:cat>
            <c:numRef>
              <c:f>'URLLC 13'!$K$22:$K$30</c:f>
              <c:numCache>
                <c:formatCode>General</c:formatCode>
                <c:ptCount val="9"/>
                <c:pt idx="0">
                  <c:v>20</c:v>
                </c:pt>
                <c:pt idx="1">
                  <c:v>40</c:v>
                </c:pt>
                <c:pt idx="2">
                  <c:v>100</c:v>
                </c:pt>
                <c:pt idx="3">
                  <c:v>200</c:v>
                </c:pt>
                <c:pt idx="4">
                  <c:v>300</c:v>
                </c:pt>
                <c:pt idx="5">
                  <c:v>400</c:v>
                </c:pt>
                <c:pt idx="6">
                  <c:v>600</c:v>
                </c:pt>
                <c:pt idx="7">
                  <c:v>800</c:v>
                </c:pt>
                <c:pt idx="8">
                  <c:v>1000</c:v>
                </c:pt>
              </c:numCache>
            </c:numRef>
          </c:cat>
          <c:val>
            <c:numRef>
              <c:f>'URLLC 13'!$N$22:$N$30</c:f>
              <c:numCache>
                <c:formatCode>General</c:formatCode>
                <c:ptCount val="9"/>
                <c:pt idx="0">
                  <c:v>0.25</c:v>
                </c:pt>
                <c:pt idx="1">
                  <c:v>0.20833333333333334</c:v>
                </c:pt>
                <c:pt idx="2">
                  <c:v>0.18333333333333332</c:v>
                </c:pt>
                <c:pt idx="3">
                  <c:v>0.17499999999999999</c:v>
                </c:pt>
                <c:pt idx="4">
                  <c:v>0.17222222222222222</c:v>
                </c:pt>
                <c:pt idx="5">
                  <c:v>0.17083333333333334</c:v>
                </c:pt>
                <c:pt idx="6">
                  <c:v>0.16944444444444445</c:v>
                </c:pt>
                <c:pt idx="7">
                  <c:v>0.16875000000000001</c:v>
                </c:pt>
                <c:pt idx="8">
                  <c:v>0.16833333333333333</c:v>
                </c:pt>
              </c:numCache>
            </c:numRef>
          </c:val>
          <c:smooth val="0"/>
        </c:ser>
        <c:ser>
          <c:idx val="3"/>
          <c:order val="3"/>
          <c:tx>
            <c:strRef>
              <c:f>'URLLC 13'!$O$21</c:f>
              <c:strCache>
                <c:ptCount val="1"/>
                <c:pt idx="0">
                  <c:v>12</c:v>
                </c:pt>
              </c:strCache>
            </c:strRef>
          </c:tx>
          <c:spPr>
            <a:ln w="28575" cap="rnd">
              <a:solidFill>
                <a:schemeClr val="accent4"/>
              </a:solidFill>
              <a:round/>
            </a:ln>
            <a:effectLst/>
          </c:spPr>
          <c:marker>
            <c:symbol val="none"/>
          </c:marker>
          <c:cat>
            <c:numRef>
              <c:f>'URLLC 13'!$K$22:$K$30</c:f>
              <c:numCache>
                <c:formatCode>General</c:formatCode>
                <c:ptCount val="9"/>
                <c:pt idx="0">
                  <c:v>20</c:v>
                </c:pt>
                <c:pt idx="1">
                  <c:v>40</c:v>
                </c:pt>
                <c:pt idx="2">
                  <c:v>100</c:v>
                </c:pt>
                <c:pt idx="3">
                  <c:v>200</c:v>
                </c:pt>
                <c:pt idx="4">
                  <c:v>300</c:v>
                </c:pt>
                <c:pt idx="5">
                  <c:v>400</c:v>
                </c:pt>
                <c:pt idx="6">
                  <c:v>600</c:v>
                </c:pt>
                <c:pt idx="7">
                  <c:v>800</c:v>
                </c:pt>
                <c:pt idx="8">
                  <c:v>1000</c:v>
                </c:pt>
              </c:numCache>
            </c:numRef>
          </c:cat>
          <c:val>
            <c:numRef>
              <c:f>'URLLC 13'!$O$22:$O$30</c:f>
              <c:numCache>
                <c:formatCode>General</c:formatCode>
                <c:ptCount val="9"/>
                <c:pt idx="0">
                  <c:v>0.26666666666666666</c:v>
                </c:pt>
                <c:pt idx="1">
                  <c:v>0.21666666666666667</c:v>
                </c:pt>
                <c:pt idx="2">
                  <c:v>0.18666666666666668</c:v>
                </c:pt>
                <c:pt idx="3">
                  <c:v>0.17666666666666667</c:v>
                </c:pt>
                <c:pt idx="4">
                  <c:v>0.17333333333333334</c:v>
                </c:pt>
                <c:pt idx="5">
                  <c:v>0.17166666666666666</c:v>
                </c:pt>
                <c:pt idx="6">
                  <c:v>0.17</c:v>
                </c:pt>
                <c:pt idx="7">
                  <c:v>0.16916666666666666</c:v>
                </c:pt>
                <c:pt idx="8">
                  <c:v>0.16866666666666666</c:v>
                </c:pt>
              </c:numCache>
            </c:numRef>
          </c:val>
          <c:smooth val="0"/>
        </c:ser>
        <c:ser>
          <c:idx val="4"/>
          <c:order val="4"/>
          <c:tx>
            <c:strRef>
              <c:f>'URLLC 13'!$P$21</c:f>
              <c:strCache>
                <c:ptCount val="1"/>
                <c:pt idx="0">
                  <c:v>16</c:v>
                </c:pt>
              </c:strCache>
            </c:strRef>
          </c:tx>
          <c:spPr>
            <a:ln w="28575" cap="rnd">
              <a:solidFill>
                <a:schemeClr val="accent5"/>
              </a:solidFill>
              <a:round/>
            </a:ln>
            <a:effectLst/>
          </c:spPr>
          <c:marker>
            <c:symbol val="none"/>
          </c:marker>
          <c:cat>
            <c:numRef>
              <c:f>'URLLC 13'!$K$22:$K$30</c:f>
              <c:numCache>
                <c:formatCode>General</c:formatCode>
                <c:ptCount val="9"/>
                <c:pt idx="0">
                  <c:v>20</c:v>
                </c:pt>
                <c:pt idx="1">
                  <c:v>40</c:v>
                </c:pt>
                <c:pt idx="2">
                  <c:v>100</c:v>
                </c:pt>
                <c:pt idx="3">
                  <c:v>200</c:v>
                </c:pt>
                <c:pt idx="4">
                  <c:v>300</c:v>
                </c:pt>
                <c:pt idx="5">
                  <c:v>400</c:v>
                </c:pt>
                <c:pt idx="6">
                  <c:v>600</c:v>
                </c:pt>
                <c:pt idx="7">
                  <c:v>800</c:v>
                </c:pt>
                <c:pt idx="8">
                  <c:v>1000</c:v>
                </c:pt>
              </c:numCache>
            </c:numRef>
          </c:cat>
          <c:val>
            <c:numRef>
              <c:f>'URLLC 13'!$P$22:$P$30</c:f>
              <c:numCache>
                <c:formatCode>General</c:formatCode>
                <c:ptCount val="9"/>
                <c:pt idx="0">
                  <c:v>0.3</c:v>
                </c:pt>
                <c:pt idx="1">
                  <c:v>0.23333333333333334</c:v>
                </c:pt>
                <c:pt idx="2">
                  <c:v>0.19333333333333333</c:v>
                </c:pt>
                <c:pt idx="3">
                  <c:v>0.18</c:v>
                </c:pt>
                <c:pt idx="4">
                  <c:v>0.17555555555555555</c:v>
                </c:pt>
                <c:pt idx="5">
                  <c:v>0.17333333333333334</c:v>
                </c:pt>
                <c:pt idx="6">
                  <c:v>0.1711111111111111</c:v>
                </c:pt>
                <c:pt idx="7">
                  <c:v>0.17</c:v>
                </c:pt>
                <c:pt idx="8">
                  <c:v>0.16933333333333334</c:v>
                </c:pt>
              </c:numCache>
            </c:numRef>
          </c:val>
          <c:smooth val="0"/>
        </c:ser>
        <c:dLbls>
          <c:showLegendKey val="0"/>
          <c:showVal val="0"/>
          <c:showCatName val="0"/>
          <c:showSerName val="0"/>
          <c:showPercent val="0"/>
          <c:showBubbleSize val="0"/>
        </c:dLbls>
        <c:smooth val="0"/>
        <c:axId val="324168032"/>
        <c:axId val="393627800"/>
      </c:lineChart>
      <c:catAx>
        <c:axId val="324168032"/>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Info block length</a:t>
                </a:r>
              </a:p>
            </c:rich>
          </c:tx>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93627800"/>
        <c:crosses val="autoZero"/>
        <c:auto val="0"/>
        <c:lblAlgn val="ctr"/>
        <c:lblOffset val="100"/>
        <c:noMultiLvlLbl val="0"/>
      </c:catAx>
      <c:valAx>
        <c:axId val="393627800"/>
        <c:scaling>
          <c:orientation val="minMax"/>
          <c:min val="0.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Code</a:t>
                </a:r>
                <a:r>
                  <a:rPr lang="en-GB" baseline="0"/>
                  <a:t> Rate</a:t>
                </a:r>
                <a:endParaRPr lang="en-GB"/>
              </a:p>
            </c:rich>
          </c:tx>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24168032"/>
        <c:crosses val="autoZero"/>
        <c:crossBetween val="between"/>
      </c:valAx>
      <c:spPr>
        <a:noFill/>
        <a:ln>
          <a:solidFill>
            <a:schemeClr val="tx1"/>
          </a:solidFill>
        </a:ln>
        <a:effectLst/>
      </c:spPr>
    </c:plotArea>
    <c:legend>
      <c:legendPos val="r"/>
      <c:layout>
        <c:manualLayout>
          <c:xMode val="edge"/>
          <c:yMode val="edge"/>
          <c:x val="0.88848935283332209"/>
          <c:y val="0.33661397804281645"/>
          <c:w val="9.6682103660470725E-2"/>
          <c:h val="0.25000169145484014"/>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GB" sz="1000"/>
              <a:t>Increase of the code</a:t>
            </a:r>
            <a:r>
              <a:rPr lang="en-GB" sz="1000" baseline="0"/>
              <a:t> rate with CRC</a:t>
            </a:r>
            <a:endParaRPr lang="en-GB" sz="1000"/>
          </a:p>
        </c:rich>
      </c:tx>
      <c:layout/>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'URLLC 13'!$C$21</c:f>
              <c:strCache>
                <c:ptCount val="1"/>
                <c:pt idx="0">
                  <c:v>6</c:v>
                </c:pt>
              </c:strCache>
            </c:strRef>
          </c:tx>
          <c:spPr>
            <a:solidFill>
              <a:schemeClr val="accent1"/>
            </a:solidFill>
            <a:ln>
              <a:noFill/>
            </a:ln>
            <a:effectLst/>
          </c:spPr>
          <c:invertIfNegative val="0"/>
          <c:cat>
            <c:numRef>
              <c:f>'URLLC 13'!$B$33:$B$41</c:f>
              <c:numCache>
                <c:formatCode>General</c:formatCode>
                <c:ptCount val="9"/>
                <c:pt idx="0">
                  <c:v>20</c:v>
                </c:pt>
                <c:pt idx="1">
                  <c:v>40</c:v>
                </c:pt>
                <c:pt idx="2">
                  <c:v>100</c:v>
                </c:pt>
                <c:pt idx="3">
                  <c:v>200</c:v>
                </c:pt>
                <c:pt idx="4">
                  <c:v>300</c:v>
                </c:pt>
                <c:pt idx="5">
                  <c:v>400</c:v>
                </c:pt>
                <c:pt idx="6">
                  <c:v>600</c:v>
                </c:pt>
                <c:pt idx="7">
                  <c:v>800</c:v>
                </c:pt>
                <c:pt idx="8">
                  <c:v>1000</c:v>
                </c:pt>
              </c:numCache>
            </c:numRef>
          </c:cat>
          <c:val>
            <c:numRef>
              <c:f>'URLLC 13'!$C$33:$C$41</c:f>
              <c:numCache>
                <c:formatCode>General</c:formatCode>
                <c:ptCount val="9"/>
                <c:pt idx="0">
                  <c:v>30.000000000000011</c:v>
                </c:pt>
                <c:pt idx="1">
                  <c:v>15.000000000000014</c:v>
                </c:pt>
                <c:pt idx="2">
                  <c:v>6.0000000000000053</c:v>
                </c:pt>
                <c:pt idx="3">
                  <c:v>3.0000000000000027</c:v>
                </c:pt>
                <c:pt idx="4">
                  <c:v>2.0000000000000129</c:v>
                </c:pt>
                <c:pt idx="5">
                  <c:v>1.5000000000000013</c:v>
                </c:pt>
                <c:pt idx="6">
                  <c:v>1.0000000000000064</c:v>
                </c:pt>
                <c:pt idx="7">
                  <c:v>0.75000000000000067</c:v>
                </c:pt>
                <c:pt idx="8">
                  <c:v>0.60000000000000053</c:v>
                </c:pt>
              </c:numCache>
            </c:numRef>
          </c:val>
        </c:ser>
        <c:ser>
          <c:idx val="1"/>
          <c:order val="1"/>
          <c:tx>
            <c:strRef>
              <c:f>'URLLC 13'!$D$21</c:f>
              <c:strCache>
                <c:ptCount val="1"/>
                <c:pt idx="0">
                  <c:v>8</c:v>
                </c:pt>
              </c:strCache>
            </c:strRef>
          </c:tx>
          <c:spPr>
            <a:solidFill>
              <a:schemeClr val="accent2"/>
            </a:solidFill>
            <a:ln>
              <a:noFill/>
            </a:ln>
            <a:effectLst/>
          </c:spPr>
          <c:invertIfNegative val="0"/>
          <c:val>
            <c:numRef>
              <c:f>'URLLC 13'!$D$33:$D$41</c:f>
              <c:numCache>
                <c:formatCode>General</c:formatCode>
                <c:ptCount val="9"/>
                <c:pt idx="0">
                  <c:v>40.000000000000007</c:v>
                </c:pt>
                <c:pt idx="1">
                  <c:v>20.000000000000011</c:v>
                </c:pt>
                <c:pt idx="2">
                  <c:v>8.0000000000000018</c:v>
                </c:pt>
                <c:pt idx="3">
                  <c:v>4.0000000000000089</c:v>
                </c:pt>
                <c:pt idx="4">
                  <c:v>2.666666666666667</c:v>
                </c:pt>
                <c:pt idx="5">
                  <c:v>2.0000000000000129</c:v>
                </c:pt>
                <c:pt idx="6">
                  <c:v>1.3333333333333419</c:v>
                </c:pt>
                <c:pt idx="7">
                  <c:v>1.0000000000000064</c:v>
                </c:pt>
                <c:pt idx="8">
                  <c:v>0.80000000000001181</c:v>
                </c:pt>
              </c:numCache>
            </c:numRef>
          </c:val>
        </c:ser>
        <c:ser>
          <c:idx val="2"/>
          <c:order val="2"/>
          <c:tx>
            <c:strRef>
              <c:f>'URLLC 13'!$E$21</c:f>
              <c:strCache>
                <c:ptCount val="1"/>
                <c:pt idx="0">
                  <c:v>10</c:v>
                </c:pt>
              </c:strCache>
            </c:strRef>
          </c:tx>
          <c:spPr>
            <a:solidFill>
              <a:schemeClr val="accent3"/>
            </a:solidFill>
            <a:ln>
              <a:noFill/>
            </a:ln>
            <a:effectLst/>
          </c:spPr>
          <c:invertIfNegative val="0"/>
          <c:val>
            <c:numRef>
              <c:f>'URLLC 13'!$E$33:$E$41</c:f>
              <c:numCache>
                <c:formatCode>General</c:formatCode>
                <c:ptCount val="9"/>
                <c:pt idx="0">
                  <c:v>50.000000000000014</c:v>
                </c:pt>
                <c:pt idx="1">
                  <c:v>25.000000000000011</c:v>
                </c:pt>
                <c:pt idx="2">
                  <c:v>9.9999999999999982</c:v>
                </c:pt>
                <c:pt idx="3">
                  <c:v>4.9999999999999991</c:v>
                </c:pt>
                <c:pt idx="4">
                  <c:v>3.3333333333333384</c:v>
                </c:pt>
                <c:pt idx="5">
                  <c:v>2.500000000000008</c:v>
                </c:pt>
                <c:pt idx="6">
                  <c:v>1.6666666666666774</c:v>
                </c:pt>
                <c:pt idx="7">
                  <c:v>1.2500000000000122</c:v>
                </c:pt>
                <c:pt idx="8">
                  <c:v>1.0000000000000064</c:v>
                </c:pt>
              </c:numCache>
            </c:numRef>
          </c:val>
        </c:ser>
        <c:ser>
          <c:idx val="3"/>
          <c:order val="3"/>
          <c:tx>
            <c:strRef>
              <c:f>'URLLC 13'!$F$21</c:f>
              <c:strCache>
                <c:ptCount val="1"/>
                <c:pt idx="0">
                  <c:v>12</c:v>
                </c:pt>
              </c:strCache>
            </c:strRef>
          </c:tx>
          <c:spPr>
            <a:solidFill>
              <a:schemeClr val="accent4"/>
            </a:solidFill>
            <a:ln>
              <a:noFill/>
            </a:ln>
            <a:effectLst/>
          </c:spPr>
          <c:invertIfNegative val="0"/>
          <c:val>
            <c:numRef>
              <c:f>'URLLC 13'!$F$33:$F$41</c:f>
              <c:numCache>
                <c:formatCode>General</c:formatCode>
                <c:ptCount val="9"/>
                <c:pt idx="0">
                  <c:v>60.000000000000007</c:v>
                </c:pt>
                <c:pt idx="1">
                  <c:v>30.000000000000011</c:v>
                </c:pt>
                <c:pt idx="2">
                  <c:v>12.000000000000011</c:v>
                </c:pt>
                <c:pt idx="3">
                  <c:v>6.0000000000000053</c:v>
                </c:pt>
                <c:pt idx="4">
                  <c:v>4.0000000000000089</c:v>
                </c:pt>
                <c:pt idx="5">
                  <c:v>3.0000000000000027</c:v>
                </c:pt>
                <c:pt idx="6">
                  <c:v>2.0000000000000129</c:v>
                </c:pt>
                <c:pt idx="7">
                  <c:v>1.5000000000000013</c:v>
                </c:pt>
                <c:pt idx="8">
                  <c:v>1.2000000000000011</c:v>
                </c:pt>
              </c:numCache>
            </c:numRef>
          </c:val>
        </c:ser>
        <c:ser>
          <c:idx val="4"/>
          <c:order val="4"/>
          <c:tx>
            <c:strRef>
              <c:f>'URLLC 13'!$G$21</c:f>
              <c:strCache>
                <c:ptCount val="1"/>
                <c:pt idx="0">
                  <c:v>16</c:v>
                </c:pt>
              </c:strCache>
            </c:strRef>
          </c:tx>
          <c:spPr>
            <a:solidFill>
              <a:schemeClr val="accent5"/>
            </a:solidFill>
            <a:ln>
              <a:noFill/>
            </a:ln>
            <a:effectLst/>
          </c:spPr>
          <c:invertIfNegative val="0"/>
          <c:val>
            <c:numRef>
              <c:f>'URLLC 13'!$G$33:$G$41</c:f>
              <c:numCache>
                <c:formatCode>General</c:formatCode>
                <c:ptCount val="9"/>
                <c:pt idx="0">
                  <c:v>80</c:v>
                </c:pt>
                <c:pt idx="1">
                  <c:v>40.000000000000007</c:v>
                </c:pt>
                <c:pt idx="2">
                  <c:v>16.000000000000004</c:v>
                </c:pt>
                <c:pt idx="3">
                  <c:v>8.0000000000000018</c:v>
                </c:pt>
                <c:pt idx="4">
                  <c:v>5.3333333333333339</c:v>
                </c:pt>
                <c:pt idx="5">
                  <c:v>4.0000000000000089</c:v>
                </c:pt>
                <c:pt idx="6">
                  <c:v>2.666666666666667</c:v>
                </c:pt>
                <c:pt idx="7">
                  <c:v>2.0000000000000129</c:v>
                </c:pt>
                <c:pt idx="8">
                  <c:v>1.600000000000007</c:v>
                </c:pt>
              </c:numCache>
            </c:numRef>
          </c:val>
        </c:ser>
        <c:dLbls>
          <c:showLegendKey val="0"/>
          <c:showVal val="0"/>
          <c:showCatName val="0"/>
          <c:showSerName val="0"/>
          <c:showPercent val="0"/>
          <c:showBubbleSize val="0"/>
        </c:dLbls>
        <c:gapWidth val="150"/>
        <c:axId val="393628584"/>
        <c:axId val="393628976"/>
      </c:barChart>
      <c:catAx>
        <c:axId val="393628584"/>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Info block length</a:t>
                </a:r>
              </a:p>
            </c:rich>
          </c:tx>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93628976"/>
        <c:crosses val="autoZero"/>
        <c:auto val="1"/>
        <c:lblAlgn val="ctr"/>
        <c:lblOffset val="100"/>
        <c:noMultiLvlLbl val="0"/>
      </c:catAx>
      <c:valAx>
        <c:axId val="39362897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Percentage</a:t>
                </a:r>
              </a:p>
            </c:rich>
          </c:tx>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93628584"/>
        <c:crosses val="autoZero"/>
        <c:crossBetween val="between"/>
      </c:valAx>
      <c:spPr>
        <a:noFill/>
        <a:ln>
          <a:noFill/>
        </a:ln>
        <a:effectLst/>
      </c:spPr>
    </c:plotArea>
    <c:legend>
      <c:legendPos val="r"/>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GB" sz="1000"/>
              <a:t>Effective code rate for different CRC bits</a:t>
            </a:r>
          </a:p>
        </c:rich>
      </c:tx>
      <c:layout/>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2852435753681157"/>
          <c:y val="0.10989627065703805"/>
          <c:w val="0.76243641921421179"/>
          <c:h val="0.73247926917952311"/>
        </c:manualLayout>
      </c:layout>
      <c:lineChart>
        <c:grouping val="standard"/>
        <c:varyColors val="0"/>
        <c:ser>
          <c:idx val="0"/>
          <c:order val="0"/>
          <c:tx>
            <c:strRef>
              <c:f>'eMBB 12 and 56'!$B$3</c:f>
              <c:strCache>
                <c:ptCount val="1"/>
                <c:pt idx="0">
                  <c:v>8</c:v>
                </c:pt>
              </c:strCache>
            </c:strRef>
          </c:tx>
          <c:spPr>
            <a:ln w="28575" cap="rnd">
              <a:solidFill>
                <a:schemeClr val="accent1"/>
              </a:solidFill>
              <a:round/>
            </a:ln>
            <a:effectLst/>
          </c:spPr>
          <c:marker>
            <c:symbol val="none"/>
          </c:marker>
          <c:cat>
            <c:numRef>
              <c:f>'eMBB 12 and 56'!$A$4:$A$12</c:f>
              <c:numCache>
                <c:formatCode>General</c:formatCode>
                <c:ptCount val="9"/>
                <c:pt idx="0">
                  <c:v>100</c:v>
                </c:pt>
                <c:pt idx="1">
                  <c:v>200</c:v>
                </c:pt>
                <c:pt idx="2">
                  <c:v>400</c:v>
                </c:pt>
                <c:pt idx="3">
                  <c:v>600</c:v>
                </c:pt>
                <c:pt idx="4">
                  <c:v>1000</c:v>
                </c:pt>
                <c:pt idx="5">
                  <c:v>2000</c:v>
                </c:pt>
                <c:pt idx="6">
                  <c:v>4000</c:v>
                </c:pt>
                <c:pt idx="7">
                  <c:v>6000</c:v>
                </c:pt>
                <c:pt idx="8">
                  <c:v>8000</c:v>
                </c:pt>
              </c:numCache>
            </c:numRef>
          </c:cat>
          <c:val>
            <c:numRef>
              <c:f>'eMBB 12 and 56'!$B$4:$B$12</c:f>
              <c:numCache>
                <c:formatCode>0.000</c:formatCode>
                <c:ptCount val="9"/>
                <c:pt idx="0">
                  <c:v>0.54</c:v>
                </c:pt>
                <c:pt idx="1">
                  <c:v>0.52</c:v>
                </c:pt>
                <c:pt idx="2">
                  <c:v>0.51</c:v>
                </c:pt>
                <c:pt idx="3">
                  <c:v>0.50666666666666671</c:v>
                </c:pt>
                <c:pt idx="4">
                  <c:v>0.504</c:v>
                </c:pt>
                <c:pt idx="5">
                  <c:v>0.502</c:v>
                </c:pt>
                <c:pt idx="6">
                  <c:v>0.501</c:v>
                </c:pt>
                <c:pt idx="7">
                  <c:v>0.5006666666666667</c:v>
                </c:pt>
                <c:pt idx="8">
                  <c:v>0.50049999999999994</c:v>
                </c:pt>
              </c:numCache>
            </c:numRef>
          </c:val>
          <c:smooth val="0"/>
        </c:ser>
        <c:ser>
          <c:idx val="1"/>
          <c:order val="1"/>
          <c:tx>
            <c:strRef>
              <c:f>'eMBB 12 and 56'!$C$3</c:f>
              <c:strCache>
                <c:ptCount val="1"/>
                <c:pt idx="0">
                  <c:v>12</c:v>
                </c:pt>
              </c:strCache>
            </c:strRef>
          </c:tx>
          <c:spPr>
            <a:ln w="28575" cap="rnd">
              <a:solidFill>
                <a:schemeClr val="accent2"/>
              </a:solidFill>
              <a:round/>
            </a:ln>
            <a:effectLst/>
          </c:spPr>
          <c:marker>
            <c:symbol val="none"/>
          </c:marker>
          <c:cat>
            <c:numRef>
              <c:f>'eMBB 12 and 56'!$A$4:$A$12</c:f>
              <c:numCache>
                <c:formatCode>General</c:formatCode>
                <c:ptCount val="9"/>
                <c:pt idx="0">
                  <c:v>100</c:v>
                </c:pt>
                <c:pt idx="1">
                  <c:v>200</c:v>
                </c:pt>
                <c:pt idx="2">
                  <c:v>400</c:v>
                </c:pt>
                <c:pt idx="3">
                  <c:v>600</c:v>
                </c:pt>
                <c:pt idx="4">
                  <c:v>1000</c:v>
                </c:pt>
                <c:pt idx="5">
                  <c:v>2000</c:v>
                </c:pt>
                <c:pt idx="6">
                  <c:v>4000</c:v>
                </c:pt>
                <c:pt idx="7">
                  <c:v>6000</c:v>
                </c:pt>
                <c:pt idx="8">
                  <c:v>8000</c:v>
                </c:pt>
              </c:numCache>
            </c:numRef>
          </c:cat>
          <c:val>
            <c:numRef>
              <c:f>'eMBB 12 and 56'!$C$4:$C$12</c:f>
              <c:numCache>
                <c:formatCode>0.000</c:formatCode>
                <c:ptCount val="9"/>
                <c:pt idx="0">
                  <c:v>0.56000000000000005</c:v>
                </c:pt>
                <c:pt idx="1">
                  <c:v>0.53</c:v>
                </c:pt>
                <c:pt idx="2">
                  <c:v>0.51500000000000001</c:v>
                </c:pt>
                <c:pt idx="3">
                  <c:v>0.51</c:v>
                </c:pt>
                <c:pt idx="4">
                  <c:v>0.50600000000000001</c:v>
                </c:pt>
                <c:pt idx="5">
                  <c:v>0.503</c:v>
                </c:pt>
                <c:pt idx="6">
                  <c:v>0.50149999999999995</c:v>
                </c:pt>
                <c:pt idx="7">
                  <c:v>0.501</c:v>
                </c:pt>
                <c:pt idx="8">
                  <c:v>0.50075000000000003</c:v>
                </c:pt>
              </c:numCache>
            </c:numRef>
          </c:val>
          <c:smooth val="0"/>
        </c:ser>
        <c:ser>
          <c:idx val="2"/>
          <c:order val="2"/>
          <c:tx>
            <c:strRef>
              <c:f>'eMBB 12 and 56'!$D$3</c:f>
              <c:strCache>
                <c:ptCount val="1"/>
                <c:pt idx="0">
                  <c:v>16</c:v>
                </c:pt>
              </c:strCache>
            </c:strRef>
          </c:tx>
          <c:spPr>
            <a:ln w="28575" cap="rnd">
              <a:solidFill>
                <a:schemeClr val="accent3"/>
              </a:solidFill>
              <a:round/>
            </a:ln>
            <a:effectLst/>
          </c:spPr>
          <c:marker>
            <c:symbol val="none"/>
          </c:marker>
          <c:cat>
            <c:numRef>
              <c:f>'eMBB 12 and 56'!$A$4:$A$12</c:f>
              <c:numCache>
                <c:formatCode>General</c:formatCode>
                <c:ptCount val="9"/>
                <c:pt idx="0">
                  <c:v>100</c:v>
                </c:pt>
                <c:pt idx="1">
                  <c:v>200</c:v>
                </c:pt>
                <c:pt idx="2">
                  <c:v>400</c:v>
                </c:pt>
                <c:pt idx="3">
                  <c:v>600</c:v>
                </c:pt>
                <c:pt idx="4">
                  <c:v>1000</c:v>
                </c:pt>
                <c:pt idx="5">
                  <c:v>2000</c:v>
                </c:pt>
                <c:pt idx="6">
                  <c:v>4000</c:v>
                </c:pt>
                <c:pt idx="7">
                  <c:v>6000</c:v>
                </c:pt>
                <c:pt idx="8">
                  <c:v>8000</c:v>
                </c:pt>
              </c:numCache>
            </c:numRef>
          </c:cat>
          <c:val>
            <c:numRef>
              <c:f>'eMBB 12 and 56'!$D$4:$D$12</c:f>
              <c:numCache>
                <c:formatCode>0.000</c:formatCode>
                <c:ptCount val="9"/>
                <c:pt idx="0">
                  <c:v>0.57999999999999996</c:v>
                </c:pt>
                <c:pt idx="1">
                  <c:v>0.54</c:v>
                </c:pt>
                <c:pt idx="2">
                  <c:v>0.52</c:v>
                </c:pt>
                <c:pt idx="3">
                  <c:v>0.51333333333333331</c:v>
                </c:pt>
                <c:pt idx="4">
                  <c:v>0.50800000000000001</c:v>
                </c:pt>
                <c:pt idx="5">
                  <c:v>0.504</c:v>
                </c:pt>
                <c:pt idx="6">
                  <c:v>0.502</c:v>
                </c:pt>
                <c:pt idx="7">
                  <c:v>0.5013333333333333</c:v>
                </c:pt>
                <c:pt idx="8">
                  <c:v>0.501</c:v>
                </c:pt>
              </c:numCache>
            </c:numRef>
          </c:val>
          <c:smooth val="0"/>
        </c:ser>
        <c:ser>
          <c:idx val="3"/>
          <c:order val="3"/>
          <c:tx>
            <c:strRef>
              <c:f>'eMBB 12 and 56'!$E$3</c:f>
              <c:strCache>
                <c:ptCount val="1"/>
                <c:pt idx="0">
                  <c:v>18</c:v>
                </c:pt>
              </c:strCache>
            </c:strRef>
          </c:tx>
          <c:spPr>
            <a:ln w="28575" cap="rnd">
              <a:solidFill>
                <a:schemeClr val="accent4"/>
              </a:solidFill>
              <a:round/>
            </a:ln>
            <a:effectLst/>
          </c:spPr>
          <c:marker>
            <c:symbol val="none"/>
          </c:marker>
          <c:cat>
            <c:numRef>
              <c:f>'eMBB 12 and 56'!$A$4:$A$12</c:f>
              <c:numCache>
                <c:formatCode>General</c:formatCode>
                <c:ptCount val="9"/>
                <c:pt idx="0">
                  <c:v>100</c:v>
                </c:pt>
                <c:pt idx="1">
                  <c:v>200</c:v>
                </c:pt>
                <c:pt idx="2">
                  <c:v>400</c:v>
                </c:pt>
                <c:pt idx="3">
                  <c:v>600</c:v>
                </c:pt>
                <c:pt idx="4">
                  <c:v>1000</c:v>
                </c:pt>
                <c:pt idx="5">
                  <c:v>2000</c:v>
                </c:pt>
                <c:pt idx="6">
                  <c:v>4000</c:v>
                </c:pt>
                <c:pt idx="7">
                  <c:v>6000</c:v>
                </c:pt>
                <c:pt idx="8">
                  <c:v>8000</c:v>
                </c:pt>
              </c:numCache>
            </c:numRef>
          </c:cat>
          <c:val>
            <c:numRef>
              <c:f>'eMBB 12 and 56'!$E$4:$E$12</c:f>
              <c:numCache>
                <c:formatCode>0.000</c:formatCode>
                <c:ptCount val="9"/>
                <c:pt idx="0">
                  <c:v>0.59</c:v>
                </c:pt>
                <c:pt idx="1">
                  <c:v>0.54500000000000004</c:v>
                </c:pt>
                <c:pt idx="2">
                  <c:v>0.52249999999999996</c:v>
                </c:pt>
                <c:pt idx="3">
                  <c:v>0.51500000000000001</c:v>
                </c:pt>
                <c:pt idx="4">
                  <c:v>0.50900000000000001</c:v>
                </c:pt>
                <c:pt idx="5">
                  <c:v>0.50449999999999995</c:v>
                </c:pt>
                <c:pt idx="6">
                  <c:v>0.50224999999999997</c:v>
                </c:pt>
                <c:pt idx="7">
                  <c:v>0.50149999999999995</c:v>
                </c:pt>
                <c:pt idx="8">
                  <c:v>0.50112500000000004</c:v>
                </c:pt>
              </c:numCache>
            </c:numRef>
          </c:val>
          <c:smooth val="0"/>
        </c:ser>
        <c:ser>
          <c:idx val="4"/>
          <c:order val="4"/>
          <c:tx>
            <c:strRef>
              <c:f>'eMBB 12 and 56'!$F$3</c:f>
              <c:strCache>
                <c:ptCount val="1"/>
                <c:pt idx="0">
                  <c:v>24</c:v>
                </c:pt>
              </c:strCache>
            </c:strRef>
          </c:tx>
          <c:spPr>
            <a:ln w="28575" cap="rnd">
              <a:solidFill>
                <a:schemeClr val="accent5"/>
              </a:solidFill>
              <a:round/>
            </a:ln>
            <a:effectLst/>
          </c:spPr>
          <c:marker>
            <c:symbol val="none"/>
          </c:marker>
          <c:cat>
            <c:numRef>
              <c:f>'eMBB 12 and 56'!$A$4:$A$12</c:f>
              <c:numCache>
                <c:formatCode>General</c:formatCode>
                <c:ptCount val="9"/>
                <c:pt idx="0">
                  <c:v>100</c:v>
                </c:pt>
                <c:pt idx="1">
                  <c:v>200</c:v>
                </c:pt>
                <c:pt idx="2">
                  <c:v>400</c:v>
                </c:pt>
                <c:pt idx="3">
                  <c:v>600</c:v>
                </c:pt>
                <c:pt idx="4">
                  <c:v>1000</c:v>
                </c:pt>
                <c:pt idx="5">
                  <c:v>2000</c:v>
                </c:pt>
                <c:pt idx="6">
                  <c:v>4000</c:v>
                </c:pt>
                <c:pt idx="7">
                  <c:v>6000</c:v>
                </c:pt>
                <c:pt idx="8">
                  <c:v>8000</c:v>
                </c:pt>
              </c:numCache>
            </c:numRef>
          </c:cat>
          <c:val>
            <c:numRef>
              <c:f>'eMBB 12 and 56'!$F$4:$F$12</c:f>
              <c:numCache>
                <c:formatCode>0.000</c:formatCode>
                <c:ptCount val="9"/>
                <c:pt idx="0">
                  <c:v>0.62</c:v>
                </c:pt>
                <c:pt idx="1">
                  <c:v>0.56000000000000005</c:v>
                </c:pt>
                <c:pt idx="2">
                  <c:v>0.53</c:v>
                </c:pt>
                <c:pt idx="3">
                  <c:v>0.52</c:v>
                </c:pt>
                <c:pt idx="4">
                  <c:v>0.51200000000000001</c:v>
                </c:pt>
                <c:pt idx="5">
                  <c:v>0.50600000000000001</c:v>
                </c:pt>
                <c:pt idx="6">
                  <c:v>0.503</c:v>
                </c:pt>
                <c:pt idx="7">
                  <c:v>0.502</c:v>
                </c:pt>
                <c:pt idx="8">
                  <c:v>0.50149999999999995</c:v>
                </c:pt>
              </c:numCache>
            </c:numRef>
          </c:val>
          <c:smooth val="0"/>
        </c:ser>
        <c:dLbls>
          <c:showLegendKey val="0"/>
          <c:showVal val="0"/>
          <c:showCatName val="0"/>
          <c:showSerName val="0"/>
          <c:showPercent val="0"/>
          <c:showBubbleSize val="0"/>
        </c:dLbls>
        <c:smooth val="0"/>
        <c:axId val="393629760"/>
        <c:axId val="393630152"/>
      </c:lineChart>
      <c:catAx>
        <c:axId val="39362976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Info block length</a:t>
                </a:r>
              </a:p>
            </c:rich>
          </c:tx>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93630152"/>
        <c:crosses val="autoZero"/>
        <c:auto val="0"/>
        <c:lblAlgn val="ctr"/>
        <c:lblOffset val="100"/>
        <c:noMultiLvlLbl val="0"/>
      </c:catAx>
      <c:valAx>
        <c:axId val="393630152"/>
        <c:scaling>
          <c:orientation val="minMax"/>
          <c:min val="0.4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Code</a:t>
                </a:r>
                <a:r>
                  <a:rPr lang="en-GB" baseline="0"/>
                  <a:t> Rate</a:t>
                </a:r>
                <a:endParaRPr lang="en-GB"/>
              </a:p>
            </c:rich>
          </c:tx>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93629760"/>
        <c:crosses val="autoZero"/>
        <c:crossBetween val="between"/>
      </c:valAx>
      <c:spPr>
        <a:noFill/>
        <a:ln>
          <a:solidFill>
            <a:schemeClr val="tx1"/>
          </a:solidFill>
        </a:ln>
        <a:effectLst/>
      </c:spPr>
    </c:plotArea>
    <c:legend>
      <c:legendPos val="r"/>
      <c:layout>
        <c:manualLayout>
          <c:xMode val="edge"/>
          <c:yMode val="edge"/>
          <c:x val="0.88848935283332209"/>
          <c:y val="0.33661397804281645"/>
          <c:w val="9.8137337438257255E-2"/>
          <c:h val="0.25000169145484014"/>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GB" sz="1000"/>
              <a:t>Effective code rate for different CRC bits</a:t>
            </a:r>
          </a:p>
        </c:rich>
      </c:tx>
      <c:layout/>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2852435753681157"/>
          <c:y val="0.10989627065703805"/>
          <c:w val="0.76243641921421179"/>
          <c:h val="0.73247926917952311"/>
        </c:manualLayout>
      </c:layout>
      <c:lineChart>
        <c:grouping val="standard"/>
        <c:varyColors val="0"/>
        <c:ser>
          <c:idx val="0"/>
          <c:order val="0"/>
          <c:tx>
            <c:strRef>
              <c:f>'eMBB 12 and 56'!$K$3</c:f>
              <c:strCache>
                <c:ptCount val="1"/>
                <c:pt idx="0">
                  <c:v>8</c:v>
                </c:pt>
              </c:strCache>
            </c:strRef>
          </c:tx>
          <c:spPr>
            <a:ln w="28575" cap="rnd">
              <a:solidFill>
                <a:schemeClr val="accent1"/>
              </a:solidFill>
              <a:round/>
            </a:ln>
            <a:effectLst/>
          </c:spPr>
          <c:marker>
            <c:symbol val="none"/>
          </c:marker>
          <c:cat>
            <c:numRef>
              <c:f>'eMBB 12 and 56'!$J$4:$J$12</c:f>
              <c:numCache>
                <c:formatCode>General</c:formatCode>
                <c:ptCount val="9"/>
                <c:pt idx="0">
                  <c:v>100</c:v>
                </c:pt>
                <c:pt idx="1">
                  <c:v>200</c:v>
                </c:pt>
                <c:pt idx="2">
                  <c:v>400</c:v>
                </c:pt>
                <c:pt idx="3">
                  <c:v>600</c:v>
                </c:pt>
                <c:pt idx="4">
                  <c:v>1000</c:v>
                </c:pt>
                <c:pt idx="5">
                  <c:v>2000</c:v>
                </c:pt>
                <c:pt idx="6">
                  <c:v>4000</c:v>
                </c:pt>
                <c:pt idx="7">
                  <c:v>6000</c:v>
                </c:pt>
                <c:pt idx="8">
                  <c:v>8000</c:v>
                </c:pt>
              </c:numCache>
            </c:numRef>
          </c:cat>
          <c:val>
            <c:numRef>
              <c:f>'eMBB 12 and 56'!$K$4:$K$12</c:f>
              <c:numCache>
                <c:formatCode>General</c:formatCode>
                <c:ptCount val="9"/>
                <c:pt idx="0">
                  <c:v>0.9</c:v>
                </c:pt>
                <c:pt idx="1">
                  <c:v>0.8666666666666667</c:v>
                </c:pt>
                <c:pt idx="2">
                  <c:v>0.85</c:v>
                </c:pt>
                <c:pt idx="3">
                  <c:v>0.84444444444444444</c:v>
                </c:pt>
                <c:pt idx="4">
                  <c:v>0.84</c:v>
                </c:pt>
                <c:pt idx="5">
                  <c:v>0.83666666666666667</c:v>
                </c:pt>
                <c:pt idx="6">
                  <c:v>0.83499999999999996</c:v>
                </c:pt>
                <c:pt idx="7">
                  <c:v>0.83444444444444443</c:v>
                </c:pt>
                <c:pt idx="8">
                  <c:v>0.83416666666666661</c:v>
                </c:pt>
              </c:numCache>
            </c:numRef>
          </c:val>
          <c:smooth val="0"/>
        </c:ser>
        <c:ser>
          <c:idx val="1"/>
          <c:order val="1"/>
          <c:tx>
            <c:strRef>
              <c:f>'eMBB 12 and 56'!$L$3</c:f>
              <c:strCache>
                <c:ptCount val="1"/>
                <c:pt idx="0">
                  <c:v>12</c:v>
                </c:pt>
              </c:strCache>
            </c:strRef>
          </c:tx>
          <c:spPr>
            <a:ln w="28575" cap="rnd">
              <a:solidFill>
                <a:schemeClr val="accent2"/>
              </a:solidFill>
              <a:round/>
            </a:ln>
            <a:effectLst/>
          </c:spPr>
          <c:marker>
            <c:symbol val="none"/>
          </c:marker>
          <c:cat>
            <c:numRef>
              <c:f>'eMBB 12 and 56'!$J$4:$J$12</c:f>
              <c:numCache>
                <c:formatCode>General</c:formatCode>
                <c:ptCount val="9"/>
                <c:pt idx="0">
                  <c:v>100</c:v>
                </c:pt>
                <c:pt idx="1">
                  <c:v>200</c:v>
                </c:pt>
                <c:pt idx="2">
                  <c:v>400</c:v>
                </c:pt>
                <c:pt idx="3">
                  <c:v>600</c:v>
                </c:pt>
                <c:pt idx="4">
                  <c:v>1000</c:v>
                </c:pt>
                <c:pt idx="5">
                  <c:v>2000</c:v>
                </c:pt>
                <c:pt idx="6">
                  <c:v>4000</c:v>
                </c:pt>
                <c:pt idx="7">
                  <c:v>6000</c:v>
                </c:pt>
                <c:pt idx="8">
                  <c:v>8000</c:v>
                </c:pt>
              </c:numCache>
            </c:numRef>
          </c:cat>
          <c:val>
            <c:numRef>
              <c:f>'eMBB 12 and 56'!$L$4:$L$12</c:f>
              <c:numCache>
                <c:formatCode>General</c:formatCode>
                <c:ptCount val="9"/>
                <c:pt idx="0">
                  <c:v>0.93333333333333335</c:v>
                </c:pt>
                <c:pt idx="1">
                  <c:v>0.8833333333333333</c:v>
                </c:pt>
                <c:pt idx="2">
                  <c:v>0.85833333333333328</c:v>
                </c:pt>
                <c:pt idx="3">
                  <c:v>0.85</c:v>
                </c:pt>
                <c:pt idx="4">
                  <c:v>0.84333333333333338</c:v>
                </c:pt>
                <c:pt idx="5">
                  <c:v>0.83833333333333337</c:v>
                </c:pt>
                <c:pt idx="6">
                  <c:v>0.83583333333333332</c:v>
                </c:pt>
                <c:pt idx="7">
                  <c:v>0.83499999999999996</c:v>
                </c:pt>
                <c:pt idx="8">
                  <c:v>0.83458333333333334</c:v>
                </c:pt>
              </c:numCache>
            </c:numRef>
          </c:val>
          <c:smooth val="0"/>
        </c:ser>
        <c:ser>
          <c:idx val="2"/>
          <c:order val="2"/>
          <c:tx>
            <c:strRef>
              <c:f>'eMBB 12 and 56'!$M$3</c:f>
              <c:strCache>
                <c:ptCount val="1"/>
                <c:pt idx="0">
                  <c:v>16</c:v>
                </c:pt>
              </c:strCache>
            </c:strRef>
          </c:tx>
          <c:spPr>
            <a:ln w="28575" cap="rnd">
              <a:solidFill>
                <a:schemeClr val="accent3"/>
              </a:solidFill>
              <a:round/>
            </a:ln>
            <a:effectLst/>
          </c:spPr>
          <c:marker>
            <c:symbol val="none"/>
          </c:marker>
          <c:cat>
            <c:numRef>
              <c:f>'eMBB 12 and 56'!$J$4:$J$12</c:f>
              <c:numCache>
                <c:formatCode>General</c:formatCode>
                <c:ptCount val="9"/>
                <c:pt idx="0">
                  <c:v>100</c:v>
                </c:pt>
                <c:pt idx="1">
                  <c:v>200</c:v>
                </c:pt>
                <c:pt idx="2">
                  <c:v>400</c:v>
                </c:pt>
                <c:pt idx="3">
                  <c:v>600</c:v>
                </c:pt>
                <c:pt idx="4">
                  <c:v>1000</c:v>
                </c:pt>
                <c:pt idx="5">
                  <c:v>2000</c:v>
                </c:pt>
                <c:pt idx="6">
                  <c:v>4000</c:v>
                </c:pt>
                <c:pt idx="7">
                  <c:v>6000</c:v>
                </c:pt>
                <c:pt idx="8">
                  <c:v>8000</c:v>
                </c:pt>
              </c:numCache>
            </c:numRef>
          </c:cat>
          <c:val>
            <c:numRef>
              <c:f>'eMBB 12 and 56'!$M$4:$M$12</c:f>
              <c:numCache>
                <c:formatCode>General</c:formatCode>
                <c:ptCount val="9"/>
                <c:pt idx="0">
                  <c:v>0.96666666666666667</c:v>
                </c:pt>
                <c:pt idx="1">
                  <c:v>0.9</c:v>
                </c:pt>
                <c:pt idx="2">
                  <c:v>0.8666666666666667</c:v>
                </c:pt>
                <c:pt idx="3">
                  <c:v>0.85555555555555551</c:v>
                </c:pt>
                <c:pt idx="4">
                  <c:v>0.84666666666666668</c:v>
                </c:pt>
                <c:pt idx="5">
                  <c:v>0.84</c:v>
                </c:pt>
                <c:pt idx="6">
                  <c:v>0.83666666666666667</c:v>
                </c:pt>
                <c:pt idx="7">
                  <c:v>0.83555555555555561</c:v>
                </c:pt>
                <c:pt idx="8">
                  <c:v>0.83499999999999996</c:v>
                </c:pt>
              </c:numCache>
            </c:numRef>
          </c:val>
          <c:smooth val="0"/>
        </c:ser>
        <c:ser>
          <c:idx val="3"/>
          <c:order val="3"/>
          <c:tx>
            <c:strRef>
              <c:f>'eMBB 12 and 56'!$N$3</c:f>
              <c:strCache>
                <c:ptCount val="1"/>
                <c:pt idx="0">
                  <c:v>18</c:v>
                </c:pt>
              </c:strCache>
            </c:strRef>
          </c:tx>
          <c:spPr>
            <a:ln w="28575" cap="rnd">
              <a:solidFill>
                <a:schemeClr val="accent4"/>
              </a:solidFill>
              <a:round/>
            </a:ln>
            <a:effectLst/>
          </c:spPr>
          <c:marker>
            <c:symbol val="none"/>
          </c:marker>
          <c:cat>
            <c:numRef>
              <c:f>'eMBB 12 and 56'!$J$4:$J$12</c:f>
              <c:numCache>
                <c:formatCode>General</c:formatCode>
                <c:ptCount val="9"/>
                <c:pt idx="0">
                  <c:v>100</c:v>
                </c:pt>
                <c:pt idx="1">
                  <c:v>200</c:v>
                </c:pt>
                <c:pt idx="2">
                  <c:v>400</c:v>
                </c:pt>
                <c:pt idx="3">
                  <c:v>600</c:v>
                </c:pt>
                <c:pt idx="4">
                  <c:v>1000</c:v>
                </c:pt>
                <c:pt idx="5">
                  <c:v>2000</c:v>
                </c:pt>
                <c:pt idx="6">
                  <c:v>4000</c:v>
                </c:pt>
                <c:pt idx="7">
                  <c:v>6000</c:v>
                </c:pt>
                <c:pt idx="8">
                  <c:v>8000</c:v>
                </c:pt>
              </c:numCache>
            </c:numRef>
          </c:cat>
          <c:val>
            <c:numRef>
              <c:f>'eMBB 12 and 56'!$N$4:$N$12</c:f>
              <c:numCache>
                <c:formatCode>General</c:formatCode>
                <c:ptCount val="9"/>
                <c:pt idx="0">
                  <c:v>0.98333333333333328</c:v>
                </c:pt>
                <c:pt idx="1">
                  <c:v>0.90833333333333333</c:v>
                </c:pt>
                <c:pt idx="2">
                  <c:v>0.87083333333333335</c:v>
                </c:pt>
                <c:pt idx="3">
                  <c:v>0.85833333333333328</c:v>
                </c:pt>
                <c:pt idx="4">
                  <c:v>0.84833333333333338</c:v>
                </c:pt>
                <c:pt idx="5">
                  <c:v>0.84083333333333332</c:v>
                </c:pt>
                <c:pt idx="6">
                  <c:v>0.83708333333333329</c:v>
                </c:pt>
                <c:pt idx="7">
                  <c:v>0.83583333333333332</c:v>
                </c:pt>
                <c:pt idx="8">
                  <c:v>0.83520833333333333</c:v>
                </c:pt>
              </c:numCache>
            </c:numRef>
          </c:val>
          <c:smooth val="0"/>
        </c:ser>
        <c:ser>
          <c:idx val="4"/>
          <c:order val="4"/>
          <c:tx>
            <c:strRef>
              <c:f>'eMBB 12 and 56'!$O$3</c:f>
              <c:strCache>
                <c:ptCount val="1"/>
                <c:pt idx="0">
                  <c:v>24</c:v>
                </c:pt>
              </c:strCache>
            </c:strRef>
          </c:tx>
          <c:spPr>
            <a:ln w="28575" cap="rnd">
              <a:solidFill>
                <a:schemeClr val="accent5"/>
              </a:solidFill>
              <a:round/>
            </a:ln>
            <a:effectLst/>
          </c:spPr>
          <c:marker>
            <c:symbol val="none"/>
          </c:marker>
          <c:cat>
            <c:numRef>
              <c:f>'eMBB 12 and 56'!$J$4:$J$12</c:f>
              <c:numCache>
                <c:formatCode>General</c:formatCode>
                <c:ptCount val="9"/>
                <c:pt idx="0">
                  <c:v>100</c:v>
                </c:pt>
                <c:pt idx="1">
                  <c:v>200</c:v>
                </c:pt>
                <c:pt idx="2">
                  <c:v>400</c:v>
                </c:pt>
                <c:pt idx="3">
                  <c:v>600</c:v>
                </c:pt>
                <c:pt idx="4">
                  <c:v>1000</c:v>
                </c:pt>
                <c:pt idx="5">
                  <c:v>2000</c:v>
                </c:pt>
                <c:pt idx="6">
                  <c:v>4000</c:v>
                </c:pt>
                <c:pt idx="7">
                  <c:v>6000</c:v>
                </c:pt>
                <c:pt idx="8">
                  <c:v>8000</c:v>
                </c:pt>
              </c:numCache>
            </c:numRef>
          </c:cat>
          <c:val>
            <c:numRef>
              <c:f>'eMBB 12 and 56'!$O$4:$O$12</c:f>
              <c:numCache>
                <c:formatCode>General</c:formatCode>
                <c:ptCount val="9"/>
                <c:pt idx="0">
                  <c:v>1.0333333333333334</c:v>
                </c:pt>
                <c:pt idx="1">
                  <c:v>0.93333333333333335</c:v>
                </c:pt>
                <c:pt idx="2">
                  <c:v>0.8833333333333333</c:v>
                </c:pt>
                <c:pt idx="3">
                  <c:v>0.8666666666666667</c:v>
                </c:pt>
                <c:pt idx="4">
                  <c:v>0.85333333333333339</c:v>
                </c:pt>
                <c:pt idx="5">
                  <c:v>0.84333333333333338</c:v>
                </c:pt>
                <c:pt idx="6">
                  <c:v>0.83833333333333337</c:v>
                </c:pt>
                <c:pt idx="7">
                  <c:v>0.83666666666666667</c:v>
                </c:pt>
                <c:pt idx="8">
                  <c:v>0.83583333333333332</c:v>
                </c:pt>
              </c:numCache>
            </c:numRef>
          </c:val>
          <c:smooth val="0"/>
        </c:ser>
        <c:dLbls>
          <c:showLegendKey val="0"/>
          <c:showVal val="0"/>
          <c:showCatName val="0"/>
          <c:showSerName val="0"/>
          <c:showPercent val="0"/>
          <c:showBubbleSize val="0"/>
        </c:dLbls>
        <c:smooth val="0"/>
        <c:axId val="395326368"/>
        <c:axId val="395326760"/>
      </c:lineChart>
      <c:catAx>
        <c:axId val="395326368"/>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Info block length</a:t>
                </a:r>
              </a:p>
            </c:rich>
          </c:tx>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95326760"/>
        <c:crosses val="autoZero"/>
        <c:auto val="0"/>
        <c:lblAlgn val="ctr"/>
        <c:lblOffset val="100"/>
        <c:noMultiLvlLbl val="0"/>
      </c:catAx>
      <c:valAx>
        <c:axId val="395326760"/>
        <c:scaling>
          <c:orientation val="minMax"/>
          <c:min val="0.8"/>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Code</a:t>
                </a:r>
                <a:r>
                  <a:rPr lang="en-GB" baseline="0"/>
                  <a:t> Rate</a:t>
                </a:r>
                <a:endParaRPr lang="en-GB"/>
              </a:p>
            </c:rich>
          </c:tx>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95326368"/>
        <c:crosses val="autoZero"/>
        <c:crossBetween val="between"/>
      </c:valAx>
      <c:spPr>
        <a:noFill/>
        <a:ln>
          <a:solidFill>
            <a:schemeClr val="tx1"/>
          </a:solidFill>
        </a:ln>
        <a:effectLst/>
      </c:spPr>
    </c:plotArea>
    <c:legend>
      <c:legendPos val="r"/>
      <c:layout>
        <c:manualLayout>
          <c:xMode val="edge"/>
          <c:yMode val="edge"/>
          <c:x val="0.88848935283332209"/>
          <c:y val="0.33661397804281645"/>
          <c:w val="9.3393008231835065E-2"/>
          <c:h val="0.25000169145484014"/>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GB" sz="1000"/>
              <a:t>Increase</a:t>
            </a:r>
            <a:r>
              <a:rPr lang="en-GB" sz="1000" baseline="0"/>
              <a:t> of the code rate with CRC</a:t>
            </a:r>
            <a:r>
              <a:rPr lang="en-GB" sz="1000"/>
              <a:t> </a:t>
            </a:r>
          </a:p>
        </c:rich>
      </c:tx>
      <c:layout/>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'eMBB 12 and 56'!$B$3</c:f>
              <c:strCache>
                <c:ptCount val="1"/>
                <c:pt idx="0">
                  <c:v>8</c:v>
                </c:pt>
              </c:strCache>
            </c:strRef>
          </c:tx>
          <c:spPr>
            <a:solidFill>
              <a:schemeClr val="accent1"/>
            </a:solidFill>
            <a:ln>
              <a:noFill/>
            </a:ln>
            <a:effectLst/>
          </c:spPr>
          <c:invertIfNegative val="0"/>
          <c:cat>
            <c:numRef>
              <c:f>'eMBB 12 and 56'!$A$15:$A$23</c:f>
              <c:numCache>
                <c:formatCode>General</c:formatCode>
                <c:ptCount val="9"/>
                <c:pt idx="0">
                  <c:v>100</c:v>
                </c:pt>
                <c:pt idx="1">
                  <c:v>200</c:v>
                </c:pt>
                <c:pt idx="2">
                  <c:v>400</c:v>
                </c:pt>
                <c:pt idx="3">
                  <c:v>600</c:v>
                </c:pt>
                <c:pt idx="4">
                  <c:v>1000</c:v>
                </c:pt>
                <c:pt idx="5">
                  <c:v>2000</c:v>
                </c:pt>
                <c:pt idx="6">
                  <c:v>4000</c:v>
                </c:pt>
                <c:pt idx="7">
                  <c:v>6000</c:v>
                </c:pt>
                <c:pt idx="8">
                  <c:v>8000</c:v>
                </c:pt>
              </c:numCache>
            </c:numRef>
          </c:cat>
          <c:val>
            <c:numRef>
              <c:f>'eMBB 12 and 56'!$B$15:$B$23</c:f>
              <c:numCache>
                <c:formatCode>0.000</c:formatCode>
                <c:ptCount val="9"/>
                <c:pt idx="0">
                  <c:v>8.0000000000000071</c:v>
                </c:pt>
                <c:pt idx="1">
                  <c:v>4.0000000000000036</c:v>
                </c:pt>
                <c:pt idx="2">
                  <c:v>2.0000000000000018</c:v>
                </c:pt>
                <c:pt idx="3">
                  <c:v>1.3333333333333419</c:v>
                </c:pt>
                <c:pt idx="4">
                  <c:v>0.80000000000000071</c:v>
                </c:pt>
                <c:pt idx="5">
                  <c:v>0.40000000000000036</c:v>
                </c:pt>
                <c:pt idx="6">
                  <c:v>0.20000000000000018</c:v>
                </c:pt>
                <c:pt idx="7">
                  <c:v>0.13333333333334085</c:v>
                </c:pt>
                <c:pt idx="8">
                  <c:v>9.9999999999988987E-2</c:v>
                </c:pt>
              </c:numCache>
            </c:numRef>
          </c:val>
        </c:ser>
        <c:ser>
          <c:idx val="1"/>
          <c:order val="1"/>
          <c:tx>
            <c:strRef>
              <c:f>'eMBB 12 and 56'!$C$3</c:f>
              <c:strCache>
                <c:ptCount val="1"/>
                <c:pt idx="0">
                  <c:v>12</c:v>
                </c:pt>
              </c:strCache>
            </c:strRef>
          </c:tx>
          <c:spPr>
            <a:solidFill>
              <a:schemeClr val="accent2"/>
            </a:solidFill>
            <a:ln>
              <a:noFill/>
            </a:ln>
            <a:effectLst/>
          </c:spPr>
          <c:invertIfNegative val="0"/>
          <c:cat>
            <c:numRef>
              <c:f>'eMBB 12 and 56'!$A$15:$A$23</c:f>
              <c:numCache>
                <c:formatCode>General</c:formatCode>
                <c:ptCount val="9"/>
                <c:pt idx="0">
                  <c:v>100</c:v>
                </c:pt>
                <c:pt idx="1">
                  <c:v>200</c:v>
                </c:pt>
                <c:pt idx="2">
                  <c:v>400</c:v>
                </c:pt>
                <c:pt idx="3">
                  <c:v>600</c:v>
                </c:pt>
                <c:pt idx="4">
                  <c:v>1000</c:v>
                </c:pt>
                <c:pt idx="5">
                  <c:v>2000</c:v>
                </c:pt>
                <c:pt idx="6">
                  <c:v>4000</c:v>
                </c:pt>
                <c:pt idx="7">
                  <c:v>6000</c:v>
                </c:pt>
                <c:pt idx="8">
                  <c:v>8000</c:v>
                </c:pt>
              </c:numCache>
            </c:numRef>
          </c:cat>
          <c:val>
            <c:numRef>
              <c:f>'eMBB 12 and 56'!$C$15:$C$23</c:f>
              <c:numCache>
                <c:formatCode>0.000</c:formatCode>
                <c:ptCount val="9"/>
                <c:pt idx="0">
                  <c:v>12.000000000000011</c:v>
                </c:pt>
                <c:pt idx="1">
                  <c:v>6.0000000000000053</c:v>
                </c:pt>
                <c:pt idx="2">
                  <c:v>3.0000000000000027</c:v>
                </c:pt>
                <c:pt idx="3">
                  <c:v>2.0000000000000018</c:v>
                </c:pt>
                <c:pt idx="4">
                  <c:v>1.2000000000000011</c:v>
                </c:pt>
                <c:pt idx="5">
                  <c:v>0.60000000000000053</c:v>
                </c:pt>
                <c:pt idx="6">
                  <c:v>0.29999999999998916</c:v>
                </c:pt>
                <c:pt idx="7">
                  <c:v>0.20000000000000018</c:v>
                </c:pt>
                <c:pt idx="8">
                  <c:v>0.15000000000000568</c:v>
                </c:pt>
              </c:numCache>
            </c:numRef>
          </c:val>
        </c:ser>
        <c:ser>
          <c:idx val="2"/>
          <c:order val="2"/>
          <c:tx>
            <c:strRef>
              <c:f>'eMBB 12 and 56'!$D$3</c:f>
              <c:strCache>
                <c:ptCount val="1"/>
                <c:pt idx="0">
                  <c:v>16</c:v>
                </c:pt>
              </c:strCache>
            </c:strRef>
          </c:tx>
          <c:spPr>
            <a:solidFill>
              <a:schemeClr val="accent3"/>
            </a:solidFill>
            <a:ln>
              <a:noFill/>
            </a:ln>
            <a:effectLst/>
          </c:spPr>
          <c:invertIfNegative val="0"/>
          <c:cat>
            <c:numRef>
              <c:f>'eMBB 12 and 56'!$A$15:$A$23</c:f>
              <c:numCache>
                <c:formatCode>General</c:formatCode>
                <c:ptCount val="9"/>
                <c:pt idx="0">
                  <c:v>100</c:v>
                </c:pt>
                <c:pt idx="1">
                  <c:v>200</c:v>
                </c:pt>
                <c:pt idx="2">
                  <c:v>400</c:v>
                </c:pt>
                <c:pt idx="3">
                  <c:v>600</c:v>
                </c:pt>
                <c:pt idx="4">
                  <c:v>1000</c:v>
                </c:pt>
                <c:pt idx="5">
                  <c:v>2000</c:v>
                </c:pt>
                <c:pt idx="6">
                  <c:v>4000</c:v>
                </c:pt>
                <c:pt idx="7">
                  <c:v>6000</c:v>
                </c:pt>
                <c:pt idx="8">
                  <c:v>8000</c:v>
                </c:pt>
              </c:numCache>
            </c:numRef>
          </c:cat>
          <c:val>
            <c:numRef>
              <c:f>'eMBB 12 and 56'!$D$15:$D$23</c:f>
              <c:numCache>
                <c:formatCode>0.000</c:formatCode>
                <c:ptCount val="9"/>
                <c:pt idx="0">
                  <c:v>15.999999999999993</c:v>
                </c:pt>
                <c:pt idx="1">
                  <c:v>8.0000000000000071</c:v>
                </c:pt>
                <c:pt idx="2">
                  <c:v>4.0000000000000036</c:v>
                </c:pt>
                <c:pt idx="3">
                  <c:v>2.6666666666666616</c:v>
                </c:pt>
                <c:pt idx="4">
                  <c:v>1.6000000000000014</c:v>
                </c:pt>
                <c:pt idx="5">
                  <c:v>0.80000000000000071</c:v>
                </c:pt>
                <c:pt idx="6">
                  <c:v>0.40000000000000036</c:v>
                </c:pt>
                <c:pt idx="7">
                  <c:v>0.2666666666666595</c:v>
                </c:pt>
                <c:pt idx="8">
                  <c:v>0.20000000000000018</c:v>
                </c:pt>
              </c:numCache>
            </c:numRef>
          </c:val>
        </c:ser>
        <c:ser>
          <c:idx val="3"/>
          <c:order val="3"/>
          <c:tx>
            <c:strRef>
              <c:f>'eMBB 12 and 56'!$E$3</c:f>
              <c:strCache>
                <c:ptCount val="1"/>
                <c:pt idx="0">
                  <c:v>18</c:v>
                </c:pt>
              </c:strCache>
            </c:strRef>
          </c:tx>
          <c:spPr>
            <a:solidFill>
              <a:schemeClr val="accent4"/>
            </a:solidFill>
            <a:ln>
              <a:noFill/>
            </a:ln>
            <a:effectLst/>
          </c:spPr>
          <c:invertIfNegative val="0"/>
          <c:cat>
            <c:numRef>
              <c:f>'eMBB 12 and 56'!$A$15:$A$23</c:f>
              <c:numCache>
                <c:formatCode>General</c:formatCode>
                <c:ptCount val="9"/>
                <c:pt idx="0">
                  <c:v>100</c:v>
                </c:pt>
                <c:pt idx="1">
                  <c:v>200</c:v>
                </c:pt>
                <c:pt idx="2">
                  <c:v>400</c:v>
                </c:pt>
                <c:pt idx="3">
                  <c:v>600</c:v>
                </c:pt>
                <c:pt idx="4">
                  <c:v>1000</c:v>
                </c:pt>
                <c:pt idx="5">
                  <c:v>2000</c:v>
                </c:pt>
                <c:pt idx="6">
                  <c:v>4000</c:v>
                </c:pt>
                <c:pt idx="7">
                  <c:v>6000</c:v>
                </c:pt>
                <c:pt idx="8">
                  <c:v>8000</c:v>
                </c:pt>
              </c:numCache>
            </c:numRef>
          </c:cat>
          <c:val>
            <c:numRef>
              <c:f>'eMBB 12 and 56'!$E$15:$E$23</c:f>
              <c:numCache>
                <c:formatCode>0.000</c:formatCode>
                <c:ptCount val="9"/>
                <c:pt idx="0">
                  <c:v>17.999999999999993</c:v>
                </c:pt>
                <c:pt idx="1">
                  <c:v>9.0000000000000071</c:v>
                </c:pt>
                <c:pt idx="2">
                  <c:v>4.4999999999999929</c:v>
                </c:pt>
                <c:pt idx="3">
                  <c:v>3.0000000000000027</c:v>
                </c:pt>
                <c:pt idx="4">
                  <c:v>1.8000000000000016</c:v>
                </c:pt>
                <c:pt idx="5">
                  <c:v>0.8999999999999897</c:v>
                </c:pt>
                <c:pt idx="6">
                  <c:v>0.44999999999999485</c:v>
                </c:pt>
                <c:pt idx="7">
                  <c:v>0.29999999999998916</c:v>
                </c:pt>
                <c:pt idx="8">
                  <c:v>0.22500000000000853</c:v>
                </c:pt>
              </c:numCache>
            </c:numRef>
          </c:val>
        </c:ser>
        <c:ser>
          <c:idx val="4"/>
          <c:order val="4"/>
          <c:tx>
            <c:strRef>
              <c:f>'eMBB 12 and 56'!$F$3</c:f>
              <c:strCache>
                <c:ptCount val="1"/>
                <c:pt idx="0">
                  <c:v>24</c:v>
                </c:pt>
              </c:strCache>
            </c:strRef>
          </c:tx>
          <c:spPr>
            <a:solidFill>
              <a:schemeClr val="accent5"/>
            </a:solidFill>
            <a:ln>
              <a:noFill/>
            </a:ln>
            <a:effectLst/>
          </c:spPr>
          <c:invertIfNegative val="0"/>
          <c:cat>
            <c:numRef>
              <c:f>'eMBB 12 and 56'!$A$15:$A$23</c:f>
              <c:numCache>
                <c:formatCode>General</c:formatCode>
                <c:ptCount val="9"/>
                <c:pt idx="0">
                  <c:v>100</c:v>
                </c:pt>
                <c:pt idx="1">
                  <c:v>200</c:v>
                </c:pt>
                <c:pt idx="2">
                  <c:v>400</c:v>
                </c:pt>
                <c:pt idx="3">
                  <c:v>600</c:v>
                </c:pt>
                <c:pt idx="4">
                  <c:v>1000</c:v>
                </c:pt>
                <c:pt idx="5">
                  <c:v>2000</c:v>
                </c:pt>
                <c:pt idx="6">
                  <c:v>4000</c:v>
                </c:pt>
                <c:pt idx="7">
                  <c:v>6000</c:v>
                </c:pt>
                <c:pt idx="8">
                  <c:v>8000</c:v>
                </c:pt>
              </c:numCache>
            </c:numRef>
          </c:cat>
          <c:val>
            <c:numRef>
              <c:f>'eMBB 12 and 56'!$F$15:$F$23</c:f>
              <c:numCache>
                <c:formatCode>0.000</c:formatCode>
                <c:ptCount val="9"/>
                <c:pt idx="0">
                  <c:v>24</c:v>
                </c:pt>
                <c:pt idx="1">
                  <c:v>12.000000000000011</c:v>
                </c:pt>
                <c:pt idx="2">
                  <c:v>6.0000000000000053</c:v>
                </c:pt>
                <c:pt idx="3">
                  <c:v>4.0000000000000036</c:v>
                </c:pt>
                <c:pt idx="4">
                  <c:v>2.4000000000000021</c:v>
                </c:pt>
                <c:pt idx="5">
                  <c:v>1.2000000000000011</c:v>
                </c:pt>
                <c:pt idx="6">
                  <c:v>0.60000000000000053</c:v>
                </c:pt>
                <c:pt idx="7">
                  <c:v>0.40000000000000036</c:v>
                </c:pt>
                <c:pt idx="8">
                  <c:v>0.29999999999998916</c:v>
                </c:pt>
              </c:numCache>
            </c:numRef>
          </c:val>
        </c:ser>
        <c:dLbls>
          <c:showLegendKey val="0"/>
          <c:showVal val="0"/>
          <c:showCatName val="0"/>
          <c:showSerName val="0"/>
          <c:showPercent val="0"/>
          <c:showBubbleSize val="0"/>
        </c:dLbls>
        <c:gapWidth val="150"/>
        <c:axId val="395327936"/>
        <c:axId val="395328328"/>
      </c:barChart>
      <c:catAx>
        <c:axId val="39532793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Info block length</a:t>
                </a:r>
              </a:p>
            </c:rich>
          </c:tx>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95328328"/>
        <c:crosses val="autoZero"/>
        <c:auto val="1"/>
        <c:lblAlgn val="ctr"/>
        <c:lblOffset val="100"/>
        <c:noMultiLvlLbl val="0"/>
      </c:catAx>
      <c:valAx>
        <c:axId val="39532832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Percentage</a:t>
                </a:r>
              </a:p>
            </c:rich>
          </c:tx>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95327936"/>
        <c:crosses val="autoZero"/>
        <c:crossBetween val="between"/>
      </c:valAx>
      <c:spPr>
        <a:noFill/>
        <a:ln>
          <a:noFill/>
        </a:ln>
        <a:effectLst/>
      </c:spPr>
    </c:plotArea>
    <c:legend>
      <c:legendPos val="r"/>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2.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3.xml><?xml version="1.0" encoding="utf-8"?>
<ds:datastoreItem xmlns:ds="http://schemas.openxmlformats.org/officeDocument/2006/customXml" ds:itemID="{66F4FE0B-4A72-4E7B-91D4-47D405CB9AEE}">
  <ds:schemaRefs>
    <ds:schemaRef ds:uri="http://schemas.microsoft.com/office/2006/documentManagement/types"/>
    <ds:schemaRef ds:uri="http://schemas.microsoft.com/sharepoint/v3"/>
    <ds:schemaRef ds:uri="http://purl.org/dc/terms/"/>
    <ds:schemaRef ds:uri="http://purl.org/dc/dcmitype/"/>
    <ds:schemaRef ds:uri="http://purl.org/dc/elements/1.1/"/>
    <ds:schemaRef ds:uri="http://www.w3.org/XML/1998/namespace"/>
    <ds:schemaRef ds:uri="http://schemas.microsoft.com/office/2006/metadata/properties"/>
    <ds:schemaRef ds:uri="http://schemas.microsoft.com/office/infopath/2007/PartnerControls"/>
    <ds:schemaRef ds:uri="http://schemas.openxmlformats.org/package/2006/metadata/core-properties"/>
    <ds:schemaRef ds:uri="28c2b7ba-9a77-416a-84c3-ad5406b8260e"/>
    <ds:schemaRef ds:uri="3e5469df-49c0-4f8e-8391-f585965f44db"/>
  </ds:schemaRefs>
</ds:datastoreItem>
</file>

<file path=customXml/itemProps4.xml><?xml version="1.0" encoding="utf-8"?>
<ds:datastoreItem xmlns:ds="http://schemas.openxmlformats.org/officeDocument/2006/customXml" ds:itemID="{EB765788-E3EE-4442-BD59-286199BBF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2946354-E25D-48D5-BCA3-F3BC25F19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1326</Words>
  <Characters>7562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8871</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2016-09-30T11:59:00Z</dcterms:created>
  <dcterms:modified xsi:type="dcterms:W3CDTF">2016-09-30T11:59:00Z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0x01010083D7957DE8F4C7428D913A84920F99E8</vt:lpwstr>
  </property>
</Properties>
</file>